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F984C">
      <w:pPr>
        <w:spacing w:after="0" w:afterLines="0" w:line="540" w:lineRule="exact"/>
      </w:pPr>
    </w:p>
    <w:p w14:paraId="10D250A9">
      <w:pPr>
        <w:spacing w:after="0" w:afterLines="0" w:line="540" w:lineRule="exact"/>
      </w:pPr>
    </w:p>
    <w:p w14:paraId="6F6D2DF2">
      <w:pPr>
        <w:spacing w:after="0" w:afterLines="0" w:line="540" w:lineRule="exact"/>
      </w:pPr>
    </w:p>
    <w:p w14:paraId="4A8892DA">
      <w:pPr>
        <w:spacing w:after="0" w:afterLines="0" w:line="540" w:lineRule="exact"/>
        <w:jc w:val="center"/>
      </w:pPr>
      <w:r>
        <w:rPr>
          <w:rFonts w:hint="eastAsia" w:ascii="方正小标宋_GBK" w:hAnsi="方正小标宋_GBK" w:eastAsia="方正小标宋_GBK" w:cs="方正小标宋_GBK"/>
          <w:sz w:val="44"/>
          <w:szCs w:val="44"/>
        </w:rPr>
        <w:t>安徽省职业技能竞赛</w:t>
      </w:r>
    </w:p>
    <w:p w14:paraId="74768B6F">
      <w:pPr>
        <w:spacing w:after="0" w:afterLines="0"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——第三届全国信息通信行业职业技能竞赛</w:t>
      </w:r>
    </w:p>
    <w:p w14:paraId="02D02427">
      <w:pPr>
        <w:spacing w:after="0" w:afterLines="0"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安徽省选拔赛</w:t>
      </w:r>
    </w:p>
    <w:p w14:paraId="0607A558">
      <w:pPr>
        <w:spacing w:after="0" w:afterLines="0" w:line="540" w:lineRule="exact"/>
      </w:pPr>
    </w:p>
    <w:p w14:paraId="6E5EC4C9">
      <w:pPr>
        <w:spacing w:after="0" w:afterLines="0" w:line="540" w:lineRule="exact"/>
      </w:pPr>
    </w:p>
    <w:p w14:paraId="44B03D1C">
      <w:pPr>
        <w:spacing w:after="0" w:afterLines="0" w:line="540" w:lineRule="exact"/>
      </w:pPr>
    </w:p>
    <w:p w14:paraId="38252DAB">
      <w:pPr>
        <w:spacing w:after="0" w:afterLines="0" w:line="540" w:lineRule="exact"/>
      </w:pPr>
    </w:p>
    <w:p w14:paraId="0555D271">
      <w:pPr>
        <w:spacing w:after="0" w:afterLines="0" w:line="540" w:lineRule="exact"/>
      </w:pPr>
    </w:p>
    <w:p w14:paraId="4876D9F2">
      <w:pPr>
        <w:spacing w:after="0" w:afterLines="0"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传输机务员赛项</w:t>
      </w:r>
    </w:p>
    <w:p w14:paraId="1293E8CA">
      <w:pPr>
        <w:spacing w:after="0" w:afterLines="0" w:line="54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技术文件</w:t>
      </w:r>
    </w:p>
    <w:p w14:paraId="4F5658FC">
      <w:pPr>
        <w:spacing w:after="0" w:afterLines="0" w:line="540" w:lineRule="exact"/>
      </w:pPr>
    </w:p>
    <w:p w14:paraId="3EA09FF4">
      <w:pPr>
        <w:spacing w:after="0" w:afterLines="0" w:line="540" w:lineRule="exact"/>
      </w:pPr>
    </w:p>
    <w:p w14:paraId="33251667">
      <w:pPr>
        <w:spacing w:after="0" w:afterLines="0" w:line="540" w:lineRule="exact"/>
      </w:pPr>
    </w:p>
    <w:p w14:paraId="30D94130">
      <w:pPr>
        <w:spacing w:after="0" w:afterLines="0" w:line="540" w:lineRule="exact"/>
      </w:pPr>
    </w:p>
    <w:p w14:paraId="19A6AB20">
      <w:pPr>
        <w:spacing w:after="0" w:afterLines="0" w:line="540" w:lineRule="exact"/>
      </w:pPr>
    </w:p>
    <w:p w14:paraId="29FFB88D">
      <w:pPr>
        <w:spacing w:after="0" w:afterLines="0" w:line="540" w:lineRule="exact"/>
      </w:pPr>
    </w:p>
    <w:p w14:paraId="5257CF77">
      <w:pPr>
        <w:spacing w:after="0" w:afterLines="0" w:line="540" w:lineRule="exact"/>
        <w:jc w:val="center"/>
      </w:pPr>
      <w:r>
        <w:rPr>
          <w:rFonts w:ascii="宋体" w:hAnsi="宋体" w:eastAsia="宋体"/>
          <w:color w:val="000000"/>
          <w:sz w:val="28"/>
        </w:rPr>
        <w:t>二〇二六年九月</w:t>
      </w:r>
    </w:p>
    <w:p w14:paraId="0DBEE4B2">
      <w:pPr>
        <w:spacing w:after="0" w:afterLines="0" w:line="540" w:lineRule="exact"/>
        <w:jc w:val="center"/>
        <w:rPr>
          <w:rFonts w:hint="eastAsia" w:ascii="仿宋_GB2312" w:hAnsi="仿宋_GB2312" w:eastAsia="仿宋_GB2312" w:cs="仿宋_GB2312"/>
          <w:b/>
          <w:bCs/>
          <w:sz w:val="32"/>
          <w:szCs w:val="32"/>
        </w:rPr>
        <w:sectPr>
          <w:headerReference r:id="rId7" w:type="first"/>
          <w:footerReference r:id="rId10" w:type="first"/>
          <w:headerReference r:id="rId5" w:type="default"/>
          <w:footerReference r:id="rId8" w:type="default"/>
          <w:headerReference r:id="rId6" w:type="even"/>
          <w:footerReference r:id="rId9" w:type="even"/>
          <w:pgSz w:w="12240" w:h="15840"/>
          <w:pgMar w:top="1440" w:right="1797" w:bottom="1440" w:left="1797" w:header="720" w:footer="720" w:gutter="0"/>
          <w:cols w:space="720" w:num="1"/>
          <w:docGrid w:linePitch="360" w:charSpace="0"/>
        </w:sectPr>
      </w:pPr>
    </w:p>
    <w:p w14:paraId="6F5839AF">
      <w:pPr>
        <w:spacing w:after="0" w:afterLines="0" w:line="540" w:lineRule="exact"/>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目录</w:t>
      </w:r>
    </w:p>
    <w:p w14:paraId="26A9D12F">
      <w:pPr>
        <w:pStyle w:val="33"/>
        <w:tabs>
          <w:tab w:val="right" w:leader="dot" w:pos="8845"/>
        </w:tabs>
        <w:spacing w:after="0" w:afterLines="0" w:line="540" w:lineRule="exact"/>
        <w:ind w:firstLine="602"/>
        <w:outlineLvl w:val="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b/>
          <w:bCs/>
          <w:sz w:val="32"/>
          <w:szCs w:val="32"/>
        </w:rPr>
        <w:instrText xml:space="preserve">TOC \o "1-2" \h \u </w:instrText>
      </w:r>
      <w:r>
        <w:rPr>
          <w:rFonts w:hint="eastAsia" w:ascii="仿宋_GB2312" w:hAnsi="仿宋_GB2312" w:eastAsia="仿宋_GB2312" w:cs="仿宋_GB2312"/>
          <w:b/>
          <w:bCs/>
          <w:sz w:val="32"/>
          <w:szCs w:val="32"/>
        </w:rPr>
        <w:fldChar w:fldCharType="separate"/>
      </w:r>
      <w:r>
        <w:fldChar w:fldCharType="begin"/>
      </w:r>
      <w:r>
        <w:instrText xml:space="preserve"> HYPERLINK \l "_Toc27697" </w:instrText>
      </w:r>
      <w:r>
        <w:fldChar w:fldCharType="separate"/>
      </w:r>
      <w:r>
        <w:rPr>
          <w:rFonts w:hint="eastAsia" w:ascii="仿宋_GB2312" w:hAnsi="仿宋_GB2312" w:eastAsia="仿宋_GB2312" w:cs="仿宋_GB2312"/>
          <w:sz w:val="32"/>
          <w:szCs w:val="32"/>
        </w:rPr>
        <w:t>一、 竞赛职业和等级</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p w14:paraId="5BCAAD0C">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"_Toc27334" </w:instrText>
      </w:r>
      <w:r>
        <w:fldChar w:fldCharType="separate"/>
      </w:r>
      <w:r>
        <w:rPr>
          <w:rFonts w:hint="eastAsia" w:ascii="仿宋_GB2312" w:hAnsi="仿宋_GB2312" w:eastAsia="仿宋_GB2312" w:cs="仿宋_GB2312"/>
          <w:sz w:val="32"/>
          <w:szCs w:val="32"/>
        </w:rPr>
        <w:t>二、 技术描述</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p w14:paraId="095D8F50">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"_Toc6376" </w:instrText>
      </w:r>
      <w:r>
        <w:fldChar w:fldCharType="separate"/>
      </w:r>
      <w:r>
        <w:rPr>
          <w:rFonts w:hint="eastAsia" w:ascii="仿宋_GB2312" w:hAnsi="仿宋_GB2312" w:eastAsia="仿宋_GB2312" w:cs="仿宋_GB2312"/>
          <w:sz w:val="32"/>
          <w:szCs w:val="32"/>
        </w:rPr>
        <w:t>（一）项目概要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p w14:paraId="654F9D64">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"_Toc23058" </w:instrText>
      </w:r>
      <w:r>
        <w:fldChar w:fldCharType="separate"/>
      </w:r>
      <w:r>
        <w:rPr>
          <w:rFonts w:hint="eastAsia" w:ascii="仿宋_GB2312" w:hAnsi="仿宋_GB2312" w:eastAsia="仿宋_GB2312" w:cs="仿宋_GB2312"/>
          <w:sz w:val="32"/>
          <w:szCs w:val="32"/>
        </w:rPr>
        <w:t>（二）基本知识与能力要求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p>
    <w:p w14:paraId="3A560169">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"_Toc6233" </w:instrText>
      </w:r>
      <w:r>
        <w:fldChar w:fldCharType="separate"/>
      </w:r>
      <w:r>
        <w:rPr>
          <w:rFonts w:hint="eastAsia" w:ascii="仿宋_GB2312" w:hAnsi="仿宋_GB2312" w:eastAsia="仿宋_GB2312" w:cs="仿宋_GB2312"/>
          <w:sz w:val="32"/>
          <w:szCs w:val="32"/>
        </w:rPr>
        <w:t>三、 竞赛形式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p>
    <w:p w14:paraId="1080EB32">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"_Toc27365" </w:instrText>
      </w:r>
      <w:r>
        <w:fldChar w:fldCharType="separate"/>
      </w:r>
      <w:r>
        <w:rPr>
          <w:rFonts w:hint="eastAsia" w:ascii="仿宋_GB2312" w:hAnsi="仿宋_GB2312" w:eastAsia="仿宋_GB2312" w:cs="仿宋_GB2312"/>
          <w:sz w:val="32"/>
          <w:szCs w:val="32"/>
        </w:rPr>
        <w:t>（一）竞赛形式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p>
    <w:p w14:paraId="3CCB8CAB">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"_Toc21261" </w:instrText>
      </w:r>
      <w:r>
        <w:fldChar w:fldCharType="separate"/>
      </w:r>
      <w:r>
        <w:rPr>
          <w:rFonts w:hint="eastAsia" w:ascii="仿宋_GB2312" w:hAnsi="仿宋_GB2312" w:eastAsia="仿宋_GB2312" w:cs="仿宋_GB2312"/>
          <w:sz w:val="32"/>
          <w:szCs w:val="32"/>
        </w:rPr>
        <w:t>（二）竞赛命题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p>
    <w:p w14:paraId="67E05C1A">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"_Toc9056" </w:instrText>
      </w:r>
      <w:r>
        <w:fldChar w:fldCharType="separate"/>
      </w:r>
      <w:r>
        <w:rPr>
          <w:rFonts w:hint="eastAsia" w:ascii="仿宋_GB2312" w:hAnsi="仿宋_GB2312" w:eastAsia="仿宋_GB2312" w:cs="仿宋_GB2312"/>
          <w:sz w:val="32"/>
          <w:szCs w:val="32"/>
        </w:rPr>
        <w:t>四、 试题与评判标准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p>
    <w:p w14:paraId="253A4570">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"_Toc24438" </w:instrText>
      </w:r>
      <w:r>
        <w:fldChar w:fldCharType="separate"/>
      </w:r>
      <w:r>
        <w:rPr>
          <w:rFonts w:hint="eastAsia" w:ascii="仿宋_GB2312" w:hAnsi="仿宋_GB2312" w:eastAsia="仿宋_GB2312" w:cs="仿宋_GB2312"/>
          <w:sz w:val="32"/>
          <w:szCs w:val="32"/>
        </w:rPr>
        <w:t>（一）理论知识考核</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rPr>
        <w:fldChar w:fldCharType="end"/>
      </w:r>
    </w:p>
    <w:p w14:paraId="4786940E">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"_Toc3511" </w:instrText>
      </w:r>
      <w:r>
        <w:fldChar w:fldCharType="separate"/>
      </w:r>
      <w:r>
        <w:rPr>
          <w:rFonts w:hint="eastAsia" w:ascii="仿宋_GB2312" w:hAnsi="仿宋_GB2312" w:eastAsia="仿宋_GB2312" w:cs="仿宋_GB2312"/>
          <w:sz w:val="32"/>
          <w:szCs w:val="32"/>
        </w:rPr>
        <w:t>（二）实操考核</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end"/>
      </w:r>
    </w:p>
    <w:p w14:paraId="10EACA09">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"_Toc24153" </w:instrText>
      </w:r>
      <w:r>
        <w:fldChar w:fldCharType="separate"/>
      </w:r>
      <w:r>
        <w:rPr>
          <w:rFonts w:hint="eastAsia" w:ascii="仿宋_GB2312" w:hAnsi="仿宋_GB2312" w:eastAsia="仿宋_GB2312" w:cs="仿宋_GB2312"/>
          <w:sz w:val="32"/>
          <w:szCs w:val="32"/>
        </w:rPr>
        <w:t>（三）竞赛时间及试题</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p>
    <w:p w14:paraId="1A5572CB">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"_Toc4470" </w:instrText>
      </w:r>
      <w:r>
        <w:fldChar w:fldCharType="separate"/>
      </w:r>
      <w:r>
        <w:rPr>
          <w:rFonts w:hint="eastAsia" w:ascii="仿宋_GB2312" w:hAnsi="仿宋_GB2312" w:eastAsia="仿宋_GB2312" w:cs="仿宋_GB2312"/>
          <w:sz w:val="32"/>
          <w:szCs w:val="32"/>
        </w:rPr>
        <w:t>（四）评判标准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p>
    <w:p w14:paraId="5B21A013">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"_Toc9092" </w:instrText>
      </w:r>
      <w:r>
        <w:fldChar w:fldCharType="separate"/>
      </w:r>
      <w:r>
        <w:rPr>
          <w:rFonts w:hint="eastAsia" w:ascii="仿宋_GB2312" w:hAnsi="仿宋_GB2312" w:eastAsia="仿宋_GB2312" w:cs="仿宋_GB2312"/>
          <w:sz w:val="32"/>
          <w:szCs w:val="32"/>
        </w:rPr>
        <w:t>五、 评分流程及考核细则</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3406D9EF">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"_Toc23517" </w:instrText>
      </w:r>
      <w:r>
        <w:fldChar w:fldCharType="separate"/>
      </w:r>
      <w:r>
        <w:rPr>
          <w:rFonts w:hint="eastAsia" w:ascii="仿宋_GB2312" w:hAnsi="仿宋_GB2312" w:eastAsia="仿宋_GB2312" w:cs="仿宋_GB2312"/>
          <w:sz w:val="32"/>
          <w:szCs w:val="32"/>
        </w:rPr>
        <w:t>六、 申诉与仲裁</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05E38849">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"_Toc21818" </w:instrText>
      </w:r>
      <w:r>
        <w:fldChar w:fldCharType="separate"/>
      </w:r>
      <w:r>
        <w:rPr>
          <w:rFonts w:hint="eastAsia" w:ascii="仿宋_GB2312" w:hAnsi="仿宋_GB2312" w:eastAsia="仿宋_GB2312" w:cs="仿宋_GB2312"/>
          <w:sz w:val="32"/>
          <w:szCs w:val="32"/>
        </w:rPr>
        <w:t>七、 竞赛场地、设施设备安排</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04EFFF90">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"_Toc30748" </w:instrText>
      </w:r>
      <w:r>
        <w:fldChar w:fldCharType="separate"/>
      </w:r>
      <w:r>
        <w:rPr>
          <w:rFonts w:hint="eastAsia" w:ascii="仿宋_GB2312" w:hAnsi="仿宋_GB2312" w:eastAsia="仿宋_GB2312" w:cs="仿宋_GB2312"/>
          <w:sz w:val="32"/>
          <w:szCs w:val="32"/>
        </w:rPr>
        <w:t>（一）赛场规格要求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p>
    <w:p w14:paraId="062BDCC8">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"_Toc16379" </w:instrText>
      </w:r>
      <w:r>
        <w:fldChar w:fldCharType="separate"/>
      </w:r>
      <w:r>
        <w:rPr>
          <w:rFonts w:hint="eastAsia" w:ascii="仿宋_GB2312" w:hAnsi="仿宋_GB2312" w:eastAsia="仿宋_GB2312" w:cs="仿宋_GB2312"/>
          <w:sz w:val="32"/>
          <w:szCs w:val="32"/>
        </w:rPr>
        <w:t>（二）场地布局图</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p>
    <w:p w14:paraId="5BC1913D">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"_Toc32378" </w:instrText>
      </w:r>
      <w:r>
        <w:fldChar w:fldCharType="separate"/>
      </w:r>
      <w:r>
        <w:rPr>
          <w:rFonts w:hint="eastAsia" w:ascii="仿宋_GB2312" w:hAnsi="仿宋_GB2312" w:eastAsia="仿宋_GB2312" w:cs="仿宋_GB2312"/>
          <w:sz w:val="32"/>
          <w:szCs w:val="32"/>
        </w:rPr>
        <w:t>（三）基础设施清单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14:paraId="2BEDADEC">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"_Toc18837" </w:instrText>
      </w:r>
      <w:r>
        <w:fldChar w:fldCharType="separate"/>
      </w:r>
      <w:r>
        <w:rPr>
          <w:rFonts w:hint="eastAsia" w:ascii="仿宋_GB2312" w:hAnsi="仿宋_GB2312" w:eastAsia="仿宋_GB2312" w:cs="仿宋_GB2312"/>
          <w:sz w:val="32"/>
          <w:szCs w:val="32"/>
        </w:rPr>
        <w:t>八、 工具材料安排及清单</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14:paraId="58360BA1">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rPr>
      </w:pPr>
      <w:r>
        <w:fldChar w:fldCharType="begin"/>
      </w:r>
      <w:r>
        <w:instrText xml:space="preserve"> HYPERLINK \l "_Toc14765" </w:instrText>
      </w:r>
      <w:r>
        <w:fldChar w:fldCharType="separate"/>
      </w:r>
      <w:r>
        <w:rPr>
          <w:rFonts w:hint="eastAsia" w:ascii="仿宋_GB2312" w:hAnsi="仿宋_GB2312" w:eastAsia="仿宋_GB2312" w:cs="仿宋_GB2312"/>
          <w:sz w:val="32"/>
          <w:szCs w:val="32"/>
        </w:rPr>
        <w:t>九、 项目特殊说明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14:paraId="2C68F19C">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rPr>
      </w:pPr>
      <w:r>
        <w:fldChar w:fldCharType="begin"/>
      </w:r>
      <w:r>
        <w:instrText xml:space="preserve"> HYPERLINK \l "_Toc1434" </w:instrText>
      </w:r>
      <w:r>
        <w:fldChar w:fldCharType="separate"/>
      </w:r>
      <w:r>
        <w:rPr>
          <w:rFonts w:hint="eastAsia" w:ascii="仿宋_GB2312" w:hAnsi="仿宋_GB2312" w:eastAsia="仿宋_GB2312" w:cs="仿宋_GB2312"/>
          <w:sz w:val="32"/>
          <w:szCs w:val="32"/>
        </w:rPr>
        <w:t>（一）赛场纪律</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14:paraId="5109CA82">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lang w:eastAsia="zh-CN"/>
        </w:rPr>
      </w:pPr>
      <w:r>
        <w:fldChar w:fldCharType="begin"/>
      </w:r>
      <w:r>
        <w:instrText xml:space="preserve"> HYPERLINK \l "_Toc23528" </w:instrText>
      </w:r>
      <w:r>
        <w:fldChar w:fldCharType="separate"/>
      </w:r>
      <w:r>
        <w:rPr>
          <w:rFonts w:hint="eastAsia" w:ascii="仿宋_GB2312" w:hAnsi="仿宋_GB2312" w:eastAsia="仿宋_GB2312" w:cs="仿宋_GB2312"/>
          <w:sz w:val="32"/>
          <w:szCs w:val="32"/>
        </w:rPr>
        <w:t>（二）异常情况处理说明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14:paraId="7FAAB916">
      <w:pPr>
        <w:pStyle w:val="33"/>
        <w:tabs>
          <w:tab w:val="right" w:leader="dot" w:pos="8845"/>
        </w:tabs>
        <w:spacing w:after="0" w:afterLines="0" w:line="540" w:lineRule="exact"/>
        <w:ind w:firstLine="640"/>
        <w:rPr>
          <w:rFonts w:hint="eastAsia" w:ascii="仿宋_GB2312" w:hAnsi="仿宋_GB2312" w:eastAsia="仿宋_GB2312" w:cs="仿宋_GB2312"/>
          <w:sz w:val="32"/>
          <w:szCs w:val="32"/>
        </w:rPr>
        <w:sectPr>
          <w:footerReference r:id="rId11" w:type="default"/>
          <w:pgSz w:w="12240" w:h="15840"/>
          <w:pgMar w:top="1440" w:right="1797" w:bottom="1440" w:left="1797" w:header="720" w:footer="720" w:gutter="0"/>
          <w:pgNumType w:start="1"/>
          <w:cols w:space="720" w:num="1"/>
          <w:docGrid w:linePitch="360" w:charSpace="0"/>
        </w:sectPr>
      </w:pPr>
    </w:p>
    <w:p w14:paraId="538B755B">
      <w:pPr>
        <w:pStyle w:val="33"/>
        <w:tabs>
          <w:tab w:val="right" w:leader="dot" w:pos="8845"/>
        </w:tabs>
        <w:spacing w:after="0" w:afterLines="0" w:line="540" w:lineRule="exact"/>
        <w:ind w:firstLine="640"/>
        <w:outlineLvl w:val="0"/>
        <w:rPr>
          <w:rFonts w:hint="eastAsia" w:ascii="仿宋_GB2312" w:hAnsi="仿宋_GB2312" w:eastAsia="仿宋_GB2312" w:cs="仿宋_GB2312"/>
          <w:sz w:val="32"/>
          <w:szCs w:val="32"/>
          <w:lang w:val="en-US" w:eastAsia="zh-CN"/>
        </w:rPr>
      </w:pPr>
      <w:r>
        <w:fldChar w:fldCharType="begin"/>
      </w:r>
      <w:r>
        <w:instrText xml:space="preserve"> HYPERLINK \l "_Toc16048" </w:instrText>
      </w:r>
      <w:r>
        <w:fldChar w:fldCharType="separate"/>
      </w:r>
      <w:r>
        <w:rPr>
          <w:rFonts w:hint="eastAsia" w:ascii="仿宋_GB2312" w:hAnsi="仿宋_GB2312" w:eastAsia="仿宋_GB2312" w:cs="仿宋_GB2312"/>
          <w:sz w:val="32"/>
          <w:szCs w:val="32"/>
        </w:rPr>
        <w:t>十、 安全办赛要求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w:t>
      </w:r>
    </w:p>
    <w:p w14:paraId="28220159">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sz w:val="32"/>
          <w:szCs w:val="32"/>
          <w:lang w:eastAsia="zh-CN"/>
        </w:rPr>
      </w:pPr>
      <w:r>
        <w:fldChar w:fldCharType="begin"/>
      </w:r>
      <w:r>
        <w:instrText xml:space="preserve"> HYPERLINK \l "_Toc26990" </w:instrText>
      </w:r>
      <w:r>
        <w:fldChar w:fldCharType="separate"/>
      </w:r>
      <w:r>
        <w:rPr>
          <w:rFonts w:hint="eastAsia" w:ascii="仿宋_GB2312" w:hAnsi="仿宋_GB2312" w:eastAsia="仿宋_GB2312" w:cs="仿宋_GB2312"/>
          <w:sz w:val="32"/>
          <w:szCs w:val="32"/>
        </w:rPr>
        <w:t>（一）选手安全防护要求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w:t>
      </w:r>
    </w:p>
    <w:p w14:paraId="3B9A6C47">
      <w:pPr>
        <w:pStyle w:val="37"/>
        <w:tabs>
          <w:tab w:val="right" w:leader="dot" w:pos="8845"/>
        </w:tabs>
        <w:spacing w:after="0" w:afterLines="0" w:line="540" w:lineRule="exact"/>
        <w:ind w:left="0" w:leftChars="0" w:firstLine="640"/>
        <w:outlineLvl w:val="1"/>
        <w:rPr>
          <w:rFonts w:hint="eastAsia" w:ascii="仿宋_GB2312" w:hAnsi="仿宋_GB2312" w:eastAsia="仿宋_GB2312" w:cs="仿宋_GB2312"/>
          <w:bCs/>
          <w:sz w:val="32"/>
          <w:szCs w:val="32"/>
          <w:lang w:eastAsia="zh-CN"/>
        </w:rPr>
      </w:pPr>
      <w:r>
        <w:fldChar w:fldCharType="begin"/>
      </w:r>
      <w:r>
        <w:instrText xml:space="preserve"> HYPERLINK \l "_Toc9059" </w:instrText>
      </w:r>
      <w:r>
        <w:fldChar w:fldCharType="separate"/>
      </w:r>
      <w:r>
        <w:rPr>
          <w:rFonts w:hint="eastAsia" w:ascii="仿宋_GB2312" w:hAnsi="仿宋_GB2312" w:eastAsia="仿宋_GB2312" w:cs="仿宋_GB2312"/>
          <w:sz w:val="32"/>
          <w:szCs w:val="32"/>
        </w:rPr>
        <w:t>（二）赛事安全要求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1</w:t>
      </w:r>
    </w:p>
    <w:p w14:paraId="2E38BB6F">
      <w:pPr>
        <w:spacing w:after="0" w:afterLines="0" w:line="540" w:lineRule="exact"/>
        <w:rPr>
          <w:rFonts w:hint="eastAsia" w:ascii="仿宋_GB2312" w:hAnsi="仿宋_GB2312" w:eastAsia="仿宋_GB2312" w:cs="仿宋_GB2312"/>
          <w:bCs/>
          <w:sz w:val="32"/>
          <w:szCs w:val="32"/>
        </w:rPr>
      </w:pPr>
    </w:p>
    <w:p w14:paraId="3195D66E">
      <w:pPr>
        <w:spacing w:after="0" w:afterLines="0" w:line="540" w:lineRule="exact"/>
        <w:rPr>
          <w:rFonts w:hint="eastAsia" w:ascii="仿宋_GB2312" w:hAnsi="仿宋_GB2312" w:eastAsia="仿宋_GB2312" w:cs="仿宋_GB2312"/>
          <w:bCs/>
          <w:sz w:val="32"/>
          <w:szCs w:val="32"/>
        </w:rPr>
      </w:pPr>
    </w:p>
    <w:p w14:paraId="0ABF6CFE">
      <w:pPr>
        <w:spacing w:after="0" w:afterLines="0" w:line="540" w:lineRule="exact"/>
        <w:rPr>
          <w:rFonts w:hint="eastAsia" w:ascii="仿宋_GB2312" w:hAnsi="仿宋_GB2312" w:eastAsia="仿宋_GB2312" w:cs="仿宋_GB2312"/>
          <w:bCs/>
          <w:sz w:val="32"/>
          <w:szCs w:val="32"/>
        </w:rPr>
      </w:pPr>
    </w:p>
    <w:p w14:paraId="302E801E">
      <w:pPr>
        <w:spacing w:after="0" w:afterLines="0" w:line="540" w:lineRule="exact"/>
        <w:rPr>
          <w:rFonts w:hint="eastAsia" w:ascii="仿宋_GB2312" w:hAnsi="仿宋_GB2312" w:eastAsia="仿宋_GB2312" w:cs="仿宋_GB2312"/>
          <w:bCs/>
          <w:sz w:val="32"/>
          <w:szCs w:val="32"/>
        </w:rPr>
      </w:pPr>
    </w:p>
    <w:p w14:paraId="1649C9CB">
      <w:pPr>
        <w:spacing w:after="0" w:afterLines="0" w:line="540" w:lineRule="exact"/>
        <w:rPr>
          <w:rFonts w:hint="eastAsia" w:ascii="仿宋_GB2312" w:hAnsi="仿宋_GB2312" w:eastAsia="仿宋_GB2312" w:cs="仿宋_GB2312"/>
          <w:bCs/>
          <w:sz w:val="32"/>
          <w:szCs w:val="32"/>
        </w:rPr>
        <w:sectPr>
          <w:footerReference r:id="rId12" w:type="default"/>
          <w:pgSz w:w="12240" w:h="15840"/>
          <w:pgMar w:top="1440" w:right="1797" w:bottom="1440" w:left="1797" w:header="720" w:footer="720" w:gutter="0"/>
          <w:pgNumType w:start="1"/>
          <w:cols w:space="720" w:num="1"/>
          <w:docGrid w:linePitch="360" w:charSpace="0"/>
        </w:sectPr>
      </w:pPr>
      <w:bookmarkStart w:id="0" w:name="_GoBack"/>
      <w:bookmarkEnd w:id="0"/>
    </w:p>
    <w:p w14:paraId="517B4A6B">
      <w:pPr>
        <w:spacing w:after="0" w:afterLines="0" w:line="540" w:lineRule="exact"/>
        <w:ind w:firstLine="640" w:firstLineChars="200"/>
        <w:rPr>
          <w:sz w:val="32"/>
          <w:szCs w:val="32"/>
        </w:rPr>
      </w:pPr>
      <w:r>
        <w:rPr>
          <w:rFonts w:hint="eastAsia" w:ascii="仿宋_GB2312" w:hAnsi="仿宋_GB2312" w:eastAsia="仿宋_GB2312" w:cs="仿宋_GB2312"/>
          <w:bCs/>
          <w:sz w:val="32"/>
          <w:szCs w:val="32"/>
        </w:rPr>
        <w:fldChar w:fldCharType="end"/>
      </w:r>
      <w:r>
        <w:rPr>
          <w:rFonts w:ascii="黑体" w:hAnsi="黑体" w:eastAsia="黑体"/>
          <w:b/>
          <w:color w:val="000000"/>
          <w:sz w:val="32"/>
          <w:szCs w:val="32"/>
        </w:rPr>
        <w:t>一、竞赛职业和等级</w:t>
      </w:r>
    </w:p>
    <w:p w14:paraId="01E2D473">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信息通信网络机务员（传输机务员）。</w:t>
      </w:r>
    </w:p>
    <w:p w14:paraId="75FCF0A1">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本竞赛基于《信息通信网络机务员国家职业技能标准（2019年版）》中高级工及以上职业技能等级相应标准，同时结合企业岗位实际需求和相关专业技术发展情况制定考核标准。</w:t>
      </w:r>
    </w:p>
    <w:p w14:paraId="03A83AD1">
      <w:pPr>
        <w:spacing w:after="0" w:afterLines="0" w:line="540" w:lineRule="exact"/>
        <w:ind w:firstLine="643" w:firstLineChars="200"/>
        <w:rPr>
          <w:sz w:val="32"/>
          <w:szCs w:val="32"/>
        </w:rPr>
      </w:pPr>
      <w:r>
        <w:rPr>
          <w:rFonts w:ascii="黑体" w:hAnsi="黑体" w:eastAsia="黑体"/>
          <w:b/>
          <w:color w:val="000000"/>
          <w:sz w:val="32"/>
          <w:szCs w:val="32"/>
        </w:rPr>
        <w:t>二、技术描述</w:t>
      </w:r>
    </w:p>
    <w:p w14:paraId="67E524BD">
      <w:pPr>
        <w:spacing w:after="0" w:afterLines="0" w:line="540" w:lineRule="exact"/>
        <w:ind w:firstLine="640" w:firstLineChars="200"/>
        <w:rPr>
          <w:rFonts w:hint="eastAsia" w:ascii="楷体" w:hAnsi="楷体" w:eastAsia="楷体" w:cs="楷体"/>
          <w:bCs/>
          <w:sz w:val="32"/>
          <w:szCs w:val="32"/>
        </w:rPr>
      </w:pPr>
      <w:r>
        <w:rPr>
          <w:rFonts w:hint="eastAsia" w:ascii="楷体" w:hAnsi="楷体" w:eastAsia="楷体" w:cs="楷体"/>
          <w:bCs/>
          <w:color w:val="000000"/>
          <w:sz w:val="32"/>
          <w:szCs w:val="32"/>
        </w:rPr>
        <w:t>（一）项目概要</w:t>
      </w:r>
    </w:p>
    <w:p w14:paraId="5CBF4512">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立足安徽省千兆光网建设、智慧城域网升级的行业发展部署，贴合全省光宽带网络运维、传输网络保障、智慧业务开通的岗位发展需求，为规范信息通信传输行业从业标准，提升一线从业人员城域网部署、业务开通、故障排查等核心服务能力，补齐全省传输网络运维领域高技能人才缺口，衔接省内职业院校相关专业人才培养标准与行业岗位要求，特组织开展本竞赛项目。</w:t>
      </w:r>
    </w:p>
    <w:p w14:paraId="30C99849">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赛项坚持“政府主导、行业指导、企业参与、服务赋能”的原则，聚焦安徽省信息通信传输网络运维主营业务，立足通信运营商、网络技术服务企业、政企运维服务岗位真实需求，深度对标国家职业技能标准及省内通信行业规范。赛项以提升从业人员岗位服务素养、实操服务能力、标准化运维水平为核心导向，以智慧城域网业务开通、故障排除等真实业务场景为考核重点，切实实现以赛促学、以赛促训、以赛促教、以赛促建的发展目标，全面完善安徽省传输网络运维领域高技能人才培养、评价、选拔体系。</w:t>
      </w:r>
    </w:p>
    <w:p w14:paraId="40E3ECB4">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（二）基本知识与能力要求</w:t>
      </w:r>
    </w:p>
    <w:p w14:paraId="02FC9A79">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赛项以智慧城域网业务部署、故障排查与运维保障为核心内容，基于真实城域网运维工作场景，根据工作任务书完成业务开通部署、故障排查处理、网络调试优化等全流程工作任务。竞赛内容通过理论知识考核、技能实操表现衡量选手对信息通信网络机务员相关知识及技术技能的掌握情况。</w:t>
      </w:r>
    </w:p>
    <w:p w14:paraId="2FBEC8B5">
      <w:pPr>
        <w:spacing w:after="0" w:afterLines="0" w:line="540" w:lineRule="exact"/>
        <w:ind w:firstLine="643" w:firstLineChars="200"/>
        <w:rPr>
          <w:sz w:val="32"/>
          <w:szCs w:val="32"/>
        </w:rPr>
      </w:pPr>
      <w:r>
        <w:rPr>
          <w:rFonts w:ascii="黑体" w:hAnsi="黑体" w:eastAsia="黑体"/>
          <w:b/>
          <w:color w:val="000000"/>
          <w:sz w:val="32"/>
          <w:szCs w:val="32"/>
        </w:rPr>
        <w:t>三、竞赛形式</w:t>
      </w:r>
    </w:p>
    <w:p w14:paraId="45269CCD">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（一）竞赛形式</w:t>
      </w:r>
    </w:p>
    <w:p w14:paraId="755A352B">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本次竞赛各组别均为单人赛，分为职工组和学生组。竞赛内容由理论知识考核和实操考核两部分组成，总成绩为100分，其中理论知识考核成绩占20%，实操考核成绩占80%。</w:t>
      </w:r>
    </w:p>
    <w:p w14:paraId="20B6A484">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（二）竞赛命题</w:t>
      </w:r>
    </w:p>
    <w:p w14:paraId="19D21307">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竞赛试题由竞赛组委会组织专家组命制，在竞赛前保密。</w:t>
      </w:r>
    </w:p>
    <w:p w14:paraId="2B30BA6D">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四、试题与评判标准</w:t>
      </w:r>
    </w:p>
    <w:p w14:paraId="076CBAFF">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（一）理论知识考核</w:t>
      </w:r>
    </w:p>
    <w:p w14:paraId="714E827B">
      <w:pPr>
        <w:spacing w:after="0" w:afterLines="0"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考核内容：主要包括光宽带网络基础知识（城域网架构、协议栈、以太网交换原理、IP路由原理、PON原理、WLAN原理、OTN原理），以及智慧城域网业务流程及协议原理（BRAS和AAA原理、VoIP协议原理、组播原理、IPTV业务系统、宽带上网流程、VoIP呼叫流程、IPTV业务流程）等知识。</w:t>
      </w:r>
    </w:p>
    <w:p w14:paraId="6BF08B36">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考核题型：完全由客观题组成，含单选题、判断题和多选题，分值为100分，占总成绩权重20%。</w:t>
      </w:r>
    </w:p>
    <w:p w14:paraId="0619916E">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考核方式：采用计算机软件答题。</w:t>
      </w:r>
    </w:p>
    <w:p w14:paraId="1DECD15A">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（二）实操考核</w:t>
      </w:r>
    </w:p>
    <w:p w14:paraId="21281980">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考核内容：实操考核涵盖智慧城域网业务开通部署、智慧城域网故障排除等。根据竞赛现场下发的赛题任务书要求，完成对应工作任务。安全文明生产在实际操作比赛过程中进行考查，不再单独命题。</w:t>
      </w:r>
    </w:p>
    <w:p w14:paraId="1A6718FF">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选手在虚拟仿真系统中根据任务书要求完成指定考核模块工作任务，各考核模块主要知识技能点及参考分值分布如下：</w:t>
      </w:r>
    </w:p>
    <w:tbl>
      <w:tblPr>
        <w:tblStyle w:val="46"/>
        <w:tblW w:w="84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4240"/>
        <w:gridCol w:w="1642"/>
      </w:tblGrid>
      <w:tr w14:paraId="2940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tcPr>
          <w:p w14:paraId="0036ABC8">
            <w:pPr>
              <w:spacing w:after="0" w:afterLines="0" w:line="540" w:lineRule="exact"/>
              <w:ind w:firstLine="42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竞赛模块</w:t>
            </w:r>
          </w:p>
        </w:tc>
        <w:tc>
          <w:tcPr>
            <w:tcW w:w="4240" w:type="dxa"/>
          </w:tcPr>
          <w:p w14:paraId="4C68D386">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主要知识技能点</w:t>
            </w:r>
          </w:p>
        </w:tc>
        <w:tc>
          <w:tcPr>
            <w:tcW w:w="1642" w:type="dxa"/>
          </w:tcPr>
          <w:p w14:paraId="6C879A8A">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参考分值</w:t>
            </w:r>
          </w:p>
        </w:tc>
      </w:tr>
      <w:tr w14:paraId="3CC6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restart"/>
            <w:vAlign w:val="center"/>
          </w:tcPr>
          <w:p w14:paraId="2B7CC138">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智慧城域网业务开通部署（40%）</w:t>
            </w:r>
          </w:p>
        </w:tc>
        <w:tc>
          <w:tcPr>
            <w:tcW w:w="4240" w:type="dxa"/>
            <w:vAlign w:val="center"/>
          </w:tcPr>
          <w:p w14:paraId="6C0D57A9">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Server和业务机房设备部署与数据配置</w:t>
            </w:r>
          </w:p>
        </w:tc>
        <w:tc>
          <w:tcPr>
            <w:tcW w:w="1642" w:type="dxa"/>
            <w:vAlign w:val="center"/>
          </w:tcPr>
          <w:p w14:paraId="56E8D1D3">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w:t>
            </w:r>
          </w:p>
        </w:tc>
      </w:tr>
      <w:tr w14:paraId="5473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2269E1DC">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530A889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承载网设备部署与数据配置</w:t>
            </w:r>
          </w:p>
        </w:tc>
        <w:tc>
          <w:tcPr>
            <w:tcW w:w="1642" w:type="dxa"/>
            <w:vAlign w:val="center"/>
          </w:tcPr>
          <w:p w14:paraId="5627EB1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w:t>
            </w:r>
          </w:p>
        </w:tc>
      </w:tr>
      <w:tr w14:paraId="7E85B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7531ACC7">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0DBE54A5">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宽带上网业务设备部署调试</w:t>
            </w:r>
          </w:p>
        </w:tc>
        <w:tc>
          <w:tcPr>
            <w:tcW w:w="1642" w:type="dxa"/>
            <w:vAlign w:val="center"/>
          </w:tcPr>
          <w:p w14:paraId="59C1E547">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w:t>
            </w:r>
          </w:p>
        </w:tc>
      </w:tr>
      <w:tr w14:paraId="427F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6B9D1699">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0478C9EC">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VoIP业务部署调试</w:t>
            </w:r>
          </w:p>
        </w:tc>
        <w:tc>
          <w:tcPr>
            <w:tcW w:w="1642" w:type="dxa"/>
            <w:vAlign w:val="center"/>
          </w:tcPr>
          <w:p w14:paraId="28E70A39">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p>
        </w:tc>
      </w:tr>
      <w:tr w14:paraId="7E65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42F2ACC4">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72DABA36">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IPTV业务部署调试</w:t>
            </w:r>
          </w:p>
        </w:tc>
        <w:tc>
          <w:tcPr>
            <w:tcW w:w="1642" w:type="dxa"/>
            <w:vAlign w:val="center"/>
          </w:tcPr>
          <w:p w14:paraId="4C268FB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p>
        </w:tc>
      </w:tr>
      <w:tr w14:paraId="78C41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restart"/>
            <w:vAlign w:val="center"/>
          </w:tcPr>
          <w:p w14:paraId="1188DAA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智慧城域网故障排除（60%）</w:t>
            </w:r>
          </w:p>
        </w:tc>
        <w:tc>
          <w:tcPr>
            <w:tcW w:w="4240" w:type="dxa"/>
            <w:vAlign w:val="center"/>
          </w:tcPr>
          <w:p w14:paraId="4A3A002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有线宽带上网业务故障排除</w:t>
            </w:r>
          </w:p>
        </w:tc>
        <w:tc>
          <w:tcPr>
            <w:tcW w:w="1642" w:type="dxa"/>
            <w:vAlign w:val="center"/>
          </w:tcPr>
          <w:p w14:paraId="2E25BCA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w:t>
            </w:r>
          </w:p>
        </w:tc>
      </w:tr>
      <w:tr w14:paraId="0D166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1677EB51">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118B474A">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WLAN业务故障排除</w:t>
            </w:r>
          </w:p>
        </w:tc>
        <w:tc>
          <w:tcPr>
            <w:tcW w:w="1642" w:type="dxa"/>
            <w:vAlign w:val="center"/>
          </w:tcPr>
          <w:p w14:paraId="273A9297">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w:t>
            </w:r>
          </w:p>
        </w:tc>
      </w:tr>
      <w:tr w14:paraId="1E08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2E8F7028">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4FCE6EE5">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VoIP业务故障排除</w:t>
            </w:r>
          </w:p>
        </w:tc>
        <w:tc>
          <w:tcPr>
            <w:tcW w:w="1642" w:type="dxa"/>
            <w:vAlign w:val="center"/>
          </w:tcPr>
          <w:p w14:paraId="3D812228">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w:t>
            </w:r>
          </w:p>
        </w:tc>
      </w:tr>
      <w:tr w14:paraId="5B975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38B29884">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3691D3CC">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IPTV业务故障排除</w:t>
            </w:r>
          </w:p>
        </w:tc>
        <w:tc>
          <w:tcPr>
            <w:tcW w:w="1642" w:type="dxa"/>
            <w:vAlign w:val="center"/>
          </w:tcPr>
          <w:p w14:paraId="13771CC4">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w:t>
            </w:r>
          </w:p>
        </w:tc>
      </w:tr>
      <w:tr w14:paraId="7501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57A50458">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70A47CE8">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数据通信网络故障排除</w:t>
            </w:r>
          </w:p>
        </w:tc>
        <w:tc>
          <w:tcPr>
            <w:tcW w:w="1642" w:type="dxa"/>
            <w:vAlign w:val="center"/>
          </w:tcPr>
          <w:p w14:paraId="7158C16C">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p>
        </w:tc>
      </w:tr>
      <w:tr w14:paraId="5C81E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47" w:type="dxa"/>
            <w:vMerge w:val="continue"/>
            <w:vAlign w:val="center"/>
          </w:tcPr>
          <w:p w14:paraId="49BC6607">
            <w:pPr>
              <w:spacing w:after="0" w:afterLines="0" w:line="540" w:lineRule="exact"/>
              <w:ind w:firstLine="420"/>
              <w:jc w:val="center"/>
              <w:rPr>
                <w:rFonts w:hint="eastAsia" w:ascii="仿宋_GB2312" w:hAnsi="仿宋_GB2312" w:eastAsia="仿宋_GB2312" w:cs="仿宋_GB2312"/>
                <w:color w:val="000000"/>
                <w:sz w:val="32"/>
                <w:szCs w:val="32"/>
              </w:rPr>
            </w:pPr>
          </w:p>
        </w:tc>
        <w:tc>
          <w:tcPr>
            <w:tcW w:w="4240" w:type="dxa"/>
            <w:vAlign w:val="center"/>
          </w:tcPr>
          <w:p w14:paraId="5BA2E8FE">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OTN网络故障排除</w:t>
            </w:r>
          </w:p>
        </w:tc>
        <w:tc>
          <w:tcPr>
            <w:tcW w:w="1642" w:type="dxa"/>
            <w:vAlign w:val="center"/>
          </w:tcPr>
          <w:p w14:paraId="13D138EF">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w:t>
            </w:r>
          </w:p>
        </w:tc>
      </w:tr>
      <w:tr w14:paraId="5E947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6787" w:type="dxa"/>
            <w:gridSpan w:val="2"/>
            <w:vAlign w:val="center"/>
          </w:tcPr>
          <w:p w14:paraId="7EBEF2B1">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总计</w:t>
            </w:r>
          </w:p>
        </w:tc>
        <w:tc>
          <w:tcPr>
            <w:tcW w:w="1642" w:type="dxa"/>
            <w:vAlign w:val="center"/>
          </w:tcPr>
          <w:p w14:paraId="7E71609D">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100</w:t>
            </w:r>
          </w:p>
        </w:tc>
      </w:tr>
    </w:tbl>
    <w:p w14:paraId="7FE74E48">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（三）竞赛时间及试题</w:t>
      </w:r>
    </w:p>
    <w:p w14:paraId="67B314E4">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竞赛时间安排：竞赛总时长为180分钟，理论知识考核60分钟，实操考核120分钟。</w:t>
      </w:r>
    </w:p>
    <w:p w14:paraId="5C356F07">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竞赛试题：理论知识考核、实操考核试题均由组委会统一命制，赛前保密。</w:t>
      </w:r>
    </w:p>
    <w:p w14:paraId="08F15795">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（四）评判标准</w:t>
      </w:r>
    </w:p>
    <w:p w14:paraId="2DB9A228">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分数权重：本赛项总分为100分，理论知识考核成绩占20%，实操考核成绩占80%。最终成绩经复核无误，由裁判长签字确认后公布。</w:t>
      </w:r>
    </w:p>
    <w:p w14:paraId="458EA6C2">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评判方法：评判由评分裁判进行，评分裁判在裁判长领导下开展分工评判。</w:t>
      </w:r>
    </w:p>
    <w:p w14:paraId="0CA02C3C">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 成绩并列：选手竞赛总分相同者，按实操考核得分高者优先。</w:t>
      </w:r>
    </w:p>
    <w:p w14:paraId="77CD9F68">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五、评分流程及考核细则</w:t>
      </w:r>
    </w:p>
    <w:p w14:paraId="26696007">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竞赛过程中，评分裁判按照分工，依据评判标准和相关技术要求开展评判工作。本项目主要评判事后结果，比赛结束后及时对选手成果进行评判。由三人以上评审小组对选手成果进行客观测量，评分小组必须对所有选手的同一评分项以统一标准尺度开展一致性评判。</w:t>
      </w:r>
    </w:p>
    <w:p w14:paraId="3395C123">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六、申诉与仲裁</w:t>
      </w:r>
    </w:p>
    <w:p w14:paraId="131F3854">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赛项设仲裁工作组，比赛过程中若出现有失公正或人员违规等现象，参赛队可在比赛结束后2小时内，向仲裁工作组递交由领队亲手签字的书面申诉报告。报告应对申诉事件的现象、发生时间、涉及人员、申诉依据等进行充分、实事求是的叙述，非书面申诉不予受理。</w:t>
      </w:r>
    </w:p>
    <w:p w14:paraId="2FC0B579">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仲裁工作组接到申诉后2小时内组织复议并及时反馈结果，仲裁委员会的仲裁结果为赛事最终结论。</w:t>
      </w:r>
    </w:p>
    <w:p w14:paraId="0EFEBD53">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七、竞赛场地、设施设备安排</w:t>
      </w:r>
    </w:p>
    <w:p w14:paraId="5DB1CEE0">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（一）赛场规格要求</w:t>
      </w:r>
    </w:p>
    <w:p w14:paraId="095A4A49">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竞赛在室内进行，现场设置场内竞赛区、现场裁判工作区、技术支持区、监督仲裁区、场外互动区等功能区域。</w:t>
      </w:r>
    </w:p>
    <w:p w14:paraId="67E07D00">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技术支持人员在技术支持服务区候场，需现场支持时由裁判带领进入对应工位，条件具备时技术支持区可设置在考场外。</w:t>
      </w:r>
    </w:p>
    <w:p w14:paraId="2A2868D4">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 各参赛工位之间互不干扰，每个工位配备1套桌椅、1台竞赛用计算机。</w:t>
      </w:r>
    </w:p>
    <w:p w14:paraId="6B4A6235">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 赛场提供稳定供电及应急供电设备，每个工位提供独立220V交流电源、1条上网网线；各工位分区供电，强电弱电分开布线，现场临时用电符合《施工现场临时用电安全技术规范》JGJ46-2005要求。</w:t>
      </w:r>
    </w:p>
    <w:p w14:paraId="1FA67940">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 赛场通风良好，照明符合教室采光规范。</w:t>
      </w:r>
    </w:p>
    <w:p w14:paraId="5086589A">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 赛场符合消防安全规定，消防器材、消防栓合格有效，应急照明设施状态正常；明显位置张贴紧急疏散图，地面张贴荧光疏散指示箭头；出入口专人值守，保障安全通道畅通。</w:t>
      </w:r>
    </w:p>
    <w:p w14:paraId="4D01E94E">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（二）场地布局图</w:t>
      </w:r>
    </w:p>
    <w:p w14:paraId="5D603B9D">
      <w:pPr>
        <w:spacing w:after="0" w:afterLines="0" w:line="540" w:lineRule="exact"/>
        <w:rPr>
          <w:rFonts w:hint="eastAsia" w:ascii="楷体" w:hAnsi="楷体" w:eastAsia="楷体" w:cs="楷体"/>
          <w:b/>
          <w:color w:val="000000"/>
          <w:sz w:val="32"/>
          <w:szCs w:val="32"/>
        </w:rPr>
      </w:pPr>
      <w:r>
        <w:rPr>
          <w:rFonts w:hint="eastAsia" w:ascii="楷体" w:hAnsi="楷体" w:eastAsia="楷体" w:cs="楷体"/>
          <w:b/>
          <w:color w:val="000000"/>
          <w:sz w:val="32"/>
          <w:szCs w:val="32"/>
        </w:rPr>
        <w:drawing>
          <wp:anchor distT="0" distB="0" distL="0" distR="0" simplePos="0" relativeHeight="251659264" behindDoc="0" locked="0" layoutInCell="1" allowOverlap="1">
            <wp:simplePos x="0" y="0"/>
            <wp:positionH relativeFrom="column">
              <wp:posOffset>869950</wp:posOffset>
            </wp:positionH>
            <wp:positionV relativeFrom="paragraph">
              <wp:posOffset>422910</wp:posOffset>
            </wp:positionV>
            <wp:extent cx="4416425" cy="4234180"/>
            <wp:effectExtent l="0" t="0" r="3175"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416425" cy="4234180"/>
                    </a:xfrm>
                    <a:prstGeom prst="rect">
                      <a:avLst/>
                    </a:prstGeom>
                    <a:noFill/>
                    <a:ln>
                      <a:noFill/>
                    </a:ln>
                  </pic:spPr>
                </pic:pic>
              </a:graphicData>
            </a:graphic>
          </wp:anchor>
        </w:drawing>
      </w:r>
    </w:p>
    <w:p w14:paraId="4FDBCD8D">
      <w:pPr>
        <w:spacing w:after="0" w:afterLines="0" w:line="540" w:lineRule="exact"/>
        <w:ind w:firstLine="640" w:firstLineChars="200"/>
        <w:rPr>
          <w:rFonts w:hint="eastAsia" w:ascii="楷体" w:hAnsi="楷体" w:eastAsia="楷体" w:cs="楷体"/>
          <w:bCs/>
          <w:color w:val="000000"/>
          <w:sz w:val="32"/>
          <w:szCs w:val="32"/>
        </w:rPr>
      </w:pPr>
      <w:r>
        <w:rPr>
          <w:rFonts w:hint="eastAsia" w:ascii="楷体" w:hAnsi="楷体" w:eastAsia="楷体" w:cs="楷体"/>
          <w:bCs/>
          <w:color w:val="000000"/>
          <w:sz w:val="32"/>
          <w:szCs w:val="32"/>
        </w:rPr>
        <w:t>（三）基础设施清单</w:t>
      </w:r>
    </w:p>
    <w:p w14:paraId="0F4194B1">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本赛项竞赛所需计算机、仿真系统及配套软件等与竞赛直接相关的设备设施由赛场统一提供，无需选手自带。赛场提供的所有设备、物料、耗材、考题、草稿纸等物品，竞赛结束后严禁携带出赛场。</w:t>
      </w:r>
    </w:p>
    <w:p w14:paraId="756E99F4">
      <w:pPr>
        <w:widowControl/>
        <w:adjustRightInd/>
        <w:snapToGrid/>
        <w:spacing w:after="0" w:afterLines="0" w:line="240" w:lineRule="auto"/>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p>
    <w:tbl>
      <w:tblPr>
        <w:tblStyle w:val="46"/>
        <w:tblW w:w="90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1559"/>
        <w:gridCol w:w="4678"/>
        <w:gridCol w:w="992"/>
        <w:gridCol w:w="900"/>
      </w:tblGrid>
      <w:tr w14:paraId="5748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 w:type="dxa"/>
          </w:tcPr>
          <w:p w14:paraId="61F21035">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序号</w:t>
            </w:r>
          </w:p>
        </w:tc>
        <w:tc>
          <w:tcPr>
            <w:tcW w:w="1559" w:type="dxa"/>
          </w:tcPr>
          <w:p w14:paraId="1E64AD27">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设备名称</w:t>
            </w:r>
          </w:p>
        </w:tc>
        <w:tc>
          <w:tcPr>
            <w:tcW w:w="4678" w:type="dxa"/>
          </w:tcPr>
          <w:p w14:paraId="17537A3A">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参数配置</w:t>
            </w:r>
          </w:p>
        </w:tc>
        <w:tc>
          <w:tcPr>
            <w:tcW w:w="992" w:type="dxa"/>
          </w:tcPr>
          <w:p w14:paraId="7884BA5D">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单位</w:t>
            </w:r>
          </w:p>
        </w:tc>
        <w:tc>
          <w:tcPr>
            <w:tcW w:w="900" w:type="dxa"/>
          </w:tcPr>
          <w:p w14:paraId="16EE83F0">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数量</w:t>
            </w:r>
          </w:p>
        </w:tc>
      </w:tr>
      <w:tr w14:paraId="73CD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53" w:hRule="atLeast"/>
          <w:jc w:val="center"/>
        </w:trPr>
        <w:tc>
          <w:tcPr>
            <w:tcW w:w="902" w:type="dxa"/>
          </w:tcPr>
          <w:p w14:paraId="0CFD068D">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1559" w:type="dxa"/>
          </w:tcPr>
          <w:p w14:paraId="61F0FCB4">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台式电脑</w:t>
            </w:r>
          </w:p>
        </w:tc>
        <w:tc>
          <w:tcPr>
            <w:tcW w:w="4678" w:type="dxa"/>
          </w:tcPr>
          <w:p w14:paraId="36FC5639">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1.CPU：推荐Intel 酷睿8代i5及以上；</w:t>
            </w:r>
          </w:p>
          <w:p w14:paraId="0CFE7193">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2.内存：8G及以上；3.操作系统：WIN7及以上版本64位中文操作系统；</w:t>
            </w:r>
          </w:p>
          <w:p w14:paraId="7A7F15B3">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4.显卡：NVIDIA GeForce GTX 970、AMD Radeon R9 290同等或更高配置；</w:t>
            </w:r>
          </w:p>
          <w:p w14:paraId="0D83C90C">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5.视频输出：支持HDMI 1.4、DisplayPort 1.2或以上；</w:t>
            </w:r>
          </w:p>
          <w:p w14:paraId="73A1E900">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6.分辨率：1920*1080及以上；</w:t>
            </w:r>
          </w:p>
          <w:p w14:paraId="751B690B">
            <w:pPr>
              <w:spacing w:after="0" w:afterLines="0" w:line="540" w:lineRule="exact"/>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7.预装截屏软件、录屏软件</w:t>
            </w:r>
          </w:p>
        </w:tc>
        <w:tc>
          <w:tcPr>
            <w:tcW w:w="992" w:type="dxa"/>
          </w:tcPr>
          <w:p w14:paraId="3799BB2A">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台</w:t>
            </w:r>
          </w:p>
        </w:tc>
        <w:tc>
          <w:tcPr>
            <w:tcW w:w="900" w:type="dxa"/>
          </w:tcPr>
          <w:p w14:paraId="1FAE10F4">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每选手1台</w:t>
            </w:r>
          </w:p>
        </w:tc>
      </w:tr>
      <w:tr w14:paraId="6EFA0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 w:type="dxa"/>
          </w:tcPr>
          <w:p w14:paraId="1E726A19">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w:t>
            </w:r>
          </w:p>
        </w:tc>
        <w:tc>
          <w:tcPr>
            <w:tcW w:w="1559" w:type="dxa"/>
          </w:tcPr>
          <w:p w14:paraId="265CFFA6">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智慧城域网部署与应用仿真系统</w:t>
            </w:r>
          </w:p>
        </w:tc>
        <w:tc>
          <w:tcPr>
            <w:tcW w:w="4678" w:type="dxa"/>
          </w:tcPr>
          <w:p w14:paraId="04A26848">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1.支持网络设计功能，可通过网元部署及连线完成核心网、承载网及接入网规划拓扑设计；</w:t>
            </w:r>
          </w:p>
          <w:p w14:paraId="755A16C9">
            <w:pPr>
              <w:spacing w:after="0" w:afterLines="0" w:line="540" w:lineRule="exact"/>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2.支持硬件配置功能，可完成PON设备机房部署、网元线缆连接，支持承载网机房与业务机房硬件配置；</w:t>
            </w:r>
          </w:p>
          <w:p w14:paraId="6DF7409C">
            <w:pPr>
              <w:spacing w:after="0" w:afterLines="0" w:line="540" w:lineRule="exact"/>
              <w:jc w:val="lef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支持数据配置功能，可完成GPON宽带模板、VOIP协议模板、宽带/语音/组播业务等配置，承载网支持IP承载和光传输配置；4.支持业务调试功能，可通过告警、拨测等工具完成业务调试及故障处理，支持PING、TRACE、光路检测、终端接入测试等功能；</w:t>
            </w:r>
          </w:p>
          <w:p w14:paraId="58C8507B">
            <w:pPr>
              <w:spacing w:after="0" w:afterLines="0" w:line="540" w:lineRule="exact"/>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5.承载网和接入网支持组播和QoS</w:t>
            </w:r>
          </w:p>
        </w:tc>
        <w:tc>
          <w:tcPr>
            <w:tcW w:w="992" w:type="dxa"/>
          </w:tcPr>
          <w:p w14:paraId="17C45BF9">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套</w:t>
            </w:r>
          </w:p>
        </w:tc>
        <w:tc>
          <w:tcPr>
            <w:tcW w:w="900" w:type="dxa"/>
          </w:tcPr>
          <w:p w14:paraId="63091867">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每选手1套</w:t>
            </w:r>
          </w:p>
        </w:tc>
      </w:tr>
      <w:tr w14:paraId="79C07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 w:type="dxa"/>
          </w:tcPr>
          <w:p w14:paraId="08540F8C">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w:t>
            </w:r>
          </w:p>
        </w:tc>
        <w:tc>
          <w:tcPr>
            <w:tcW w:w="1559" w:type="dxa"/>
          </w:tcPr>
          <w:p w14:paraId="1BE53139">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考试U盘</w:t>
            </w:r>
          </w:p>
        </w:tc>
        <w:tc>
          <w:tcPr>
            <w:tcW w:w="4678" w:type="dxa"/>
          </w:tcPr>
          <w:p w14:paraId="429E167F">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用于竞赛结果备份保存，容量不低于8GB</w:t>
            </w:r>
          </w:p>
        </w:tc>
        <w:tc>
          <w:tcPr>
            <w:tcW w:w="992" w:type="dxa"/>
          </w:tcPr>
          <w:p w14:paraId="45D1E838">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个</w:t>
            </w:r>
          </w:p>
        </w:tc>
        <w:tc>
          <w:tcPr>
            <w:tcW w:w="900" w:type="dxa"/>
          </w:tcPr>
          <w:p w14:paraId="20C67D45">
            <w:pPr>
              <w:spacing w:after="0" w:afterLines="0" w:line="540" w:lineRule="exact"/>
              <w:jc w:val="center"/>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每选手1个</w:t>
            </w:r>
          </w:p>
        </w:tc>
      </w:tr>
    </w:tbl>
    <w:p w14:paraId="681A61C9">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备注：设备数量根据实际参赛人数调整，仿真系统支持远程接入赛场。</w:t>
      </w:r>
    </w:p>
    <w:p w14:paraId="57264A8A">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八、工具材料安排及清单</w:t>
      </w:r>
    </w:p>
    <w:p w14:paraId="730666E6">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 本项目参赛选手无需自带任何工具、材料。</w:t>
      </w:r>
    </w:p>
    <w:p w14:paraId="57A66C6E">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 禁止选手携带任何工具、材料进入赛场。</w:t>
      </w:r>
    </w:p>
    <w:p w14:paraId="269AA0F0">
      <w:pPr>
        <w:spacing w:after="0" w:afterLines="0" w:line="540"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 赛场提供的设备、设施、物料、耗材、考题、草稿纸等物品，竞赛结束后严禁携带出赛场。</w:t>
      </w:r>
    </w:p>
    <w:p w14:paraId="151CDD06">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九、项目特殊说明</w:t>
      </w:r>
    </w:p>
    <w:p w14:paraId="0F57EDC0">
      <w:pPr>
        <w:spacing w:after="0" w:afterLines="0" w:line="540" w:lineRule="exact"/>
        <w:ind w:firstLine="643" w:firstLineChars="200"/>
        <w:rPr>
          <w:rFonts w:hint="eastAsia" w:ascii="楷体" w:hAnsi="楷体" w:eastAsia="楷体" w:cs="楷体"/>
          <w:sz w:val="32"/>
          <w:szCs w:val="32"/>
        </w:rPr>
      </w:pPr>
      <w:r>
        <w:rPr>
          <w:rFonts w:hint="eastAsia" w:ascii="楷体" w:hAnsi="楷体" w:eastAsia="楷体" w:cs="楷体"/>
          <w:b/>
          <w:color w:val="000000"/>
          <w:sz w:val="32"/>
          <w:szCs w:val="32"/>
        </w:rPr>
        <w:t>（一）赛场纪律</w:t>
      </w:r>
    </w:p>
    <w:p w14:paraId="328854E7">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参赛选手须凭竞赛抽签单、身份证和参赛证进入考场；</w:t>
      </w:r>
    </w:p>
    <w:p w14:paraId="332DF730">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参赛选手不得携带除竞赛抽签单、参赛证以外的任何物品进入考场；</w:t>
      </w:r>
    </w:p>
    <w:p w14:paraId="0570BB0B">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进入考场后，参赛选手应按照抽签单进入相应工位，并检查设备状况；</w:t>
      </w:r>
    </w:p>
    <w:p w14:paraId="50C436DD">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参赛选手应准时参赛，迟到</w:t>
      </w:r>
      <w:r>
        <w:rPr>
          <w:rFonts w:ascii="仿宋_GB2312" w:hAnsi="仿宋_GB2312" w:eastAsia="仿宋_GB2312" w:cs="仿宋_GB2312"/>
          <w:color w:val="000000"/>
          <w:sz w:val="32"/>
          <w:szCs w:val="32"/>
        </w:rPr>
        <w:t>30</w:t>
      </w:r>
      <w:r>
        <w:rPr>
          <w:rFonts w:hint="eastAsia" w:ascii="仿宋_GB2312" w:hAnsi="仿宋_GB2312" w:eastAsia="仿宋_GB2312" w:cs="仿宋_GB2312"/>
          <w:color w:val="000000"/>
          <w:sz w:val="32"/>
          <w:szCs w:val="32"/>
        </w:rPr>
        <w:t>分钟以上者，将不得入场，并按自动弃权处理；</w:t>
      </w:r>
    </w:p>
    <w:p w14:paraId="12799A06">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参赛选手在竞赛期间可饮水、进食、上洗手间，但其耗时一律计入竞赛时间；</w:t>
      </w:r>
    </w:p>
    <w:p w14:paraId="5E169492">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裁判组发出开始竞赛的时间信号后，参赛选手方可进行操作；</w:t>
      </w:r>
    </w:p>
    <w:p w14:paraId="234E8E51">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参赛选手必须独立完成所有项目，除征得裁判长许可，否则严禁与其他选手、与会人员和本单位裁判员交流接触；</w:t>
      </w:r>
    </w:p>
    <w:p w14:paraId="17B674C6">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参赛选手不得在试卷和答题纸上做任何不属于试题要求范围的标记；</w:t>
      </w:r>
    </w:p>
    <w:p w14:paraId="4DAA7E03">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竞赛期间，参赛选手遇有问题应向裁判员举手示意，由裁判员与技术工作人员负责处理；</w:t>
      </w:r>
    </w:p>
    <w:p w14:paraId="20B107C4">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参赛选手在比赛过程中，由于非本人违规操作等原因造成机器运转不正常中断比赛的，中断时间不记入选手正式比赛时间。设备恢复正常后，可根据故障或问题处理的具体时间，补足比赛时间。因个人原因导致设备故障，造成比赛时间延误，应计入选手比赛时间并不予以补偿；</w:t>
      </w:r>
    </w:p>
    <w:p w14:paraId="272BDC0A">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裁判工作人员发出结束竞赛的时间信号后，参赛选手应立即停止操作，经裁判长许可后，依次有序地离开赛场。</w:t>
      </w:r>
    </w:p>
    <w:p w14:paraId="414A88E6">
      <w:pPr>
        <w:spacing w:after="0" w:afterLines="0" w:line="540" w:lineRule="exact"/>
        <w:ind w:firstLine="643" w:firstLineChars="200"/>
        <w:rPr>
          <w:rFonts w:hint="eastAsia" w:ascii="楷体" w:hAnsi="楷体" w:eastAsia="楷体" w:cs="楷体"/>
          <w:b/>
          <w:color w:val="000000"/>
          <w:sz w:val="32"/>
          <w:szCs w:val="32"/>
        </w:rPr>
      </w:pPr>
      <w:r>
        <w:rPr>
          <w:rFonts w:hint="eastAsia" w:ascii="楷体" w:hAnsi="楷体" w:eastAsia="楷体" w:cs="楷体"/>
          <w:b/>
          <w:color w:val="000000"/>
          <w:sz w:val="32"/>
          <w:szCs w:val="32"/>
        </w:rPr>
        <w:t>（二）异常情况处理说明</w:t>
      </w:r>
    </w:p>
    <w:p w14:paraId="4239E48A">
      <w:pPr>
        <w:spacing w:after="0" w:afterLines="0" w:line="54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比赛期间，参赛选手及其代表队的其他人员如有违反比赛规则的行为，将采取以下处理措施：</w:t>
      </w:r>
    </w:p>
    <w:p w14:paraId="42014FFC">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选手本人在比赛中出现了诸如擅自携带未经允许的工具、材料，未经允许向他人借用比赛工具、材料以及其他竞赛作弊和影响赛场秩序的行为，一经发现，将由裁判员报告裁判长，由裁判长予以警告，情节严重者，取消该选手比赛资格；</w:t>
      </w:r>
    </w:p>
    <w:p w14:paraId="476645D2">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如参赛选手被发现擅自处理比赛设备，故意修改设备正常参数，为其他选手设置故障等相应问题，不论原因如何，应立即向裁判长报告，并按照裁判长意见进行处理；</w:t>
      </w:r>
    </w:p>
    <w:p w14:paraId="399169DF">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如选手被发现通过网络、通信设备等，将比赛赛题、比赛运行文件及软件、比赛账号等发布出去，提前上传、访问比赛试题的具体解决方案、步骤，一经查实，取消比赛成绩；</w:t>
      </w:r>
    </w:p>
    <w:p w14:paraId="1A976F06">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各代表队的其他人员的违规行为如对参赛选手比赛成绩产生影响，将由裁判长组织全体裁判员讨论并给出处理意见，根据各项目评判标准及本技术文件的基本要求，依据情节轻重，对该队选手给予警告，直至取消比赛资格；</w:t>
      </w:r>
    </w:p>
    <w:p w14:paraId="3E8AF8F2">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各代表队的其他人员的违规行为无论对其他参赛选手比赛成绩是否产生影响，该违规人员均不得再进入赛场。同时，由裁判组责成其代表队领队对其进行批评教育。情节严重的，由裁判长决定是否取消其代表队的参赛资格；</w:t>
      </w:r>
    </w:p>
    <w:p w14:paraId="747D257E">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各项目对选手进行的相关违规违纪处理，应由裁判长及时向监督仲裁人员通报。</w:t>
      </w:r>
    </w:p>
    <w:p w14:paraId="7D03F43D">
      <w:pPr>
        <w:spacing w:after="0" w:afterLines="0" w:line="54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上述违规行为及严重程度，由裁判组按照简单多数原则认定。未尽事宜，参照全国行业职业技能竞赛工作相关规定，由裁判组按照简单多数原则讨论决定。</w:t>
      </w:r>
    </w:p>
    <w:p w14:paraId="671BFD1A">
      <w:pPr>
        <w:spacing w:after="0" w:afterLines="0" w:line="540" w:lineRule="exact"/>
        <w:ind w:firstLine="643" w:firstLineChars="200"/>
        <w:rPr>
          <w:rFonts w:hint="eastAsia" w:ascii="黑体" w:hAnsi="黑体" w:eastAsia="黑体"/>
          <w:b/>
          <w:color w:val="000000"/>
          <w:sz w:val="32"/>
          <w:szCs w:val="32"/>
        </w:rPr>
      </w:pPr>
      <w:r>
        <w:rPr>
          <w:rFonts w:ascii="黑体" w:hAnsi="黑体" w:eastAsia="黑体"/>
          <w:b/>
          <w:color w:val="000000"/>
          <w:sz w:val="32"/>
          <w:szCs w:val="32"/>
        </w:rPr>
        <w:t>十、安全办赛要求</w:t>
      </w:r>
    </w:p>
    <w:p w14:paraId="37C9C056">
      <w:pPr>
        <w:spacing w:after="0" w:afterLines="0" w:line="540" w:lineRule="exact"/>
        <w:ind w:firstLine="643" w:firstLineChars="200"/>
        <w:rPr>
          <w:rFonts w:hint="eastAsia" w:ascii="楷体" w:hAnsi="楷体" w:eastAsia="楷体" w:cs="楷体"/>
          <w:b/>
          <w:color w:val="000000"/>
          <w:sz w:val="32"/>
          <w:szCs w:val="32"/>
        </w:rPr>
      </w:pPr>
      <w:r>
        <w:rPr>
          <w:rFonts w:hint="eastAsia" w:ascii="楷体" w:hAnsi="楷体" w:eastAsia="楷体" w:cs="楷体"/>
          <w:b/>
          <w:color w:val="000000"/>
          <w:sz w:val="32"/>
          <w:szCs w:val="32"/>
        </w:rPr>
        <w:t>（一）选手安全防护要求</w:t>
      </w:r>
    </w:p>
    <w:p w14:paraId="7FAF61EB">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参赛选手应严格遵守设备安全操作规程；</w:t>
      </w:r>
    </w:p>
    <w:p w14:paraId="064C73AE">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参赛选手停止操作时，应保证设备的正常运行，比赛结束后，所有设备保持运行状态，不要拆、动硬件连接，确保设备正常运行和正常评分；</w:t>
      </w:r>
    </w:p>
    <w:p w14:paraId="3DFE7EB4">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参赛选手应遵从安全规范操作，例如</w:t>
      </w:r>
      <w:r>
        <w:rPr>
          <w:rFonts w:ascii="仿宋_GB2312" w:hAnsi="仿宋_GB2312" w:eastAsia="仿宋_GB2312" w:cs="仿宋_GB2312"/>
          <w:color w:val="000000"/>
          <w:sz w:val="32"/>
          <w:szCs w:val="32"/>
        </w:rPr>
        <w:t>ESD</w:t>
      </w:r>
      <w:r>
        <w:rPr>
          <w:rFonts w:hint="eastAsia" w:ascii="仿宋_GB2312" w:hAnsi="仿宋_GB2312" w:eastAsia="仿宋_GB2312" w:cs="仿宋_GB2312"/>
          <w:color w:val="000000"/>
          <w:sz w:val="32"/>
          <w:szCs w:val="32"/>
        </w:rPr>
        <w:t>（静电放电）——静电放电无害环境下的设备用途、安全使用及储存；</w:t>
      </w:r>
    </w:p>
    <w:p w14:paraId="674F8479">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参赛选手应保证设备和信息完整及安全。</w:t>
      </w:r>
    </w:p>
    <w:p w14:paraId="25174F54">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每个参赛单位必须为参赛选手办理比赛期间的意外伤害保险。</w:t>
      </w:r>
    </w:p>
    <w:p w14:paraId="6631B8F4">
      <w:pPr>
        <w:spacing w:after="0" w:afterLines="0" w:line="540" w:lineRule="exact"/>
        <w:ind w:firstLine="643" w:firstLineChars="200"/>
        <w:rPr>
          <w:rFonts w:hint="eastAsia" w:ascii="楷体" w:hAnsi="楷体" w:eastAsia="楷体" w:cs="楷体"/>
          <w:b/>
          <w:color w:val="000000"/>
          <w:sz w:val="32"/>
          <w:szCs w:val="32"/>
        </w:rPr>
      </w:pPr>
      <w:r>
        <w:rPr>
          <w:rFonts w:hint="eastAsia" w:ascii="楷体" w:hAnsi="楷体" w:eastAsia="楷体" w:cs="楷体"/>
          <w:b/>
          <w:color w:val="000000"/>
          <w:sz w:val="32"/>
          <w:szCs w:val="32"/>
        </w:rPr>
        <w:t>（二）赛事安全要求</w:t>
      </w:r>
    </w:p>
    <w:p w14:paraId="51FB3D20">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禁止选手及所有参加赛事的人员携带任何有毒有害物品进入竞赛现场；</w:t>
      </w:r>
    </w:p>
    <w:p w14:paraId="2E64C566">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承办单位应设置专门的安全防卫组，负责竞赛期间健康和安全事务。主要包括检查竞赛场地、与会人员居住地、车辆交通及其周围环境的安全防卫，制定紧急应对方案，监督与会人员食品安全与卫生，分析和处理安全突发事件等。</w:t>
      </w:r>
    </w:p>
    <w:p w14:paraId="6AF5AC8C">
      <w:pPr>
        <w:spacing w:after="0" w:afterLines="0" w:line="54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赛场须配备相应医疗人员和急救人员，并备有相应急救设施。</w:t>
      </w:r>
    </w:p>
    <w:p w14:paraId="4CE5CF7E">
      <w:pPr>
        <w:spacing w:after="0" w:afterLines="0" w:line="540" w:lineRule="exact"/>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赛场设置不间断电源（</w:t>
      </w:r>
      <w:r>
        <w:rPr>
          <w:rFonts w:ascii="仿宋_GB2312" w:hAnsi="仿宋_GB2312" w:eastAsia="仿宋_GB2312" w:cs="仿宋_GB2312"/>
          <w:color w:val="000000"/>
          <w:sz w:val="32"/>
          <w:szCs w:val="32"/>
        </w:rPr>
        <w:t>UPS</w:t>
      </w:r>
      <w:r>
        <w:rPr>
          <w:rFonts w:hint="eastAsia" w:ascii="仿宋_GB2312" w:hAnsi="仿宋_GB2312" w:eastAsia="仿宋_GB2312" w:cs="仿宋_GB2312"/>
          <w:color w:val="000000"/>
          <w:sz w:val="32"/>
          <w:szCs w:val="32"/>
        </w:rPr>
        <w:t>），对于关键设备如计时系统、通讯设备等，</w:t>
      </w:r>
      <w:r>
        <w:rPr>
          <w:rFonts w:ascii="仿宋_GB2312" w:hAnsi="仿宋_GB2312" w:eastAsia="仿宋_GB2312" w:cs="仿宋_GB2312"/>
          <w:color w:val="000000"/>
          <w:sz w:val="32"/>
          <w:szCs w:val="32"/>
        </w:rPr>
        <w:t>UPS</w:t>
      </w:r>
      <w:r>
        <w:rPr>
          <w:rFonts w:hint="eastAsia" w:ascii="仿宋_GB2312" w:hAnsi="仿宋_GB2312" w:eastAsia="仿宋_GB2312" w:cs="仿宋_GB2312"/>
          <w:color w:val="000000"/>
          <w:sz w:val="32"/>
          <w:szCs w:val="32"/>
        </w:rPr>
        <w:t>可以在主电源断电后提供短时间的紧急电力，以保障赛事的顺利进行或数据的保存。</w:t>
      </w:r>
    </w:p>
    <w:sectPr>
      <w:footerReference r:id="rId13" w:type="default"/>
      <w:pgSz w:w="12240" w:h="15840"/>
      <w:pgMar w:top="1440" w:right="1797" w:bottom="1440" w:left="179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MS Mincho">
    <w:panose1 w:val="02020609040205080304"/>
    <w:charset w:val="80"/>
    <w:family w:val="auto"/>
    <w:pitch w:val="default"/>
    <w:sig w:usb0="E00002FF" w:usb1="6AC7FDFB" w:usb2="00000012" w:usb3="00000000" w:csb0="4002009F" w:csb1="DFD70000"/>
  </w:font>
  <w:font w:name="Courier New">
    <w:panose1 w:val="02070309020205020404"/>
    <w:charset w:val="00"/>
    <w:family w:val="modern"/>
    <w:pitch w:val="default"/>
    <w:sig w:usb0="E0002AFF" w:usb1="C0007843" w:usb2="00000009" w:usb3="00000000" w:csb0="400001FF" w:csb1="FFFF0000"/>
  </w:font>
  <w:font w:name="MS Gothic">
    <w:panose1 w:val="020B0609070205080204"/>
    <w:charset w:val="80"/>
    <w:family w:val="auto"/>
    <w:pitch w:val="default"/>
    <w:sig w:usb0="E00002FF" w:usb1="6AC7FDFB" w:usb2="00000012" w:usb3="00000000" w:csb0="4002009F" w:csb1="DFD7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FC693">
    <w:pPr>
      <w:pStyle w:val="30"/>
      <w:spacing w:after="4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50194">
    <w:pPr>
      <w:pStyle w:val="30"/>
      <w:spacing w:after="4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246C0D">
    <w:pPr>
      <w:pStyle w:val="30"/>
      <w:spacing w:after="4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B5EB9">
    <w:pPr>
      <w:pStyle w:val="30"/>
      <w:spacing w:after="4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8FA84">
    <w:pPr>
      <w:pStyle w:val="30"/>
      <w:spacing w:after="4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9327486"/>
      <w:docPartObj>
        <w:docPartGallery w:val="AutoText"/>
      </w:docPartObj>
    </w:sdtPr>
    <w:sdtContent>
      <w:p w14:paraId="5EE738E4">
        <w:pPr>
          <w:pStyle w:val="30"/>
          <w:spacing w:after="48"/>
          <w:ind w:left="9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94C2171">
    <w:pPr>
      <w:pStyle w:val="30"/>
      <w:spacing w:after="4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88" w:lineRule="auto"/>
      </w:pPr>
      <w:r>
        <w:separator/>
      </w:r>
    </w:p>
  </w:footnote>
  <w:footnote w:type="continuationSeparator" w:id="1">
    <w:p>
      <w:pPr>
        <w:spacing w:before="0" w:after="0"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3EC53">
    <w:pPr>
      <w:pStyle w:val="31"/>
      <w:spacing w:after="4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B436">
    <w:pPr>
      <w:pStyle w:val="31"/>
      <w:spacing w:after="4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75070">
    <w:pPr>
      <w:pStyle w:val="31"/>
      <w:spacing w:after="4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61233F"/>
    <w:multiLevelType w:val="singleLevel"/>
    <w:tmpl w:val="8361233F"/>
    <w:lvl w:ilvl="0" w:tentative="0">
      <w:start w:val="1"/>
      <w:numFmt w:val="decimal"/>
      <w:pStyle w:val="22"/>
      <w:lvlText w:val="%1."/>
      <w:lvlJc w:val="left"/>
      <w:pPr>
        <w:tabs>
          <w:tab w:val="left" w:pos="1200"/>
        </w:tabs>
        <w:ind w:left="1200" w:hanging="360"/>
      </w:pPr>
    </w:lvl>
  </w:abstractNum>
  <w:abstractNum w:abstractNumId="1">
    <w:nsid w:val="ABF770C0"/>
    <w:multiLevelType w:val="singleLevel"/>
    <w:tmpl w:val="ABF770C0"/>
    <w:lvl w:ilvl="0" w:tentative="0">
      <w:start w:val="1"/>
      <w:numFmt w:val="decimal"/>
      <w:pStyle w:val="15"/>
      <w:lvlText w:val="%1."/>
      <w:lvlJc w:val="left"/>
      <w:pPr>
        <w:tabs>
          <w:tab w:val="left" w:pos="360"/>
        </w:tabs>
        <w:ind w:left="360" w:hanging="360"/>
      </w:pPr>
    </w:lvl>
  </w:abstractNum>
  <w:abstractNum w:abstractNumId="2">
    <w:nsid w:val="B1D620FE"/>
    <w:multiLevelType w:val="singleLevel"/>
    <w:tmpl w:val="B1D620FE"/>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3">
    <w:nsid w:val="FF98A679"/>
    <w:multiLevelType w:val="singleLevel"/>
    <w:tmpl w:val="FF98A679"/>
    <w:lvl w:ilvl="0" w:tentative="0">
      <w:start w:val="1"/>
      <w:numFmt w:val="decimal"/>
      <w:pStyle w:val="14"/>
      <w:lvlText w:val="%1."/>
      <w:lvlJc w:val="left"/>
      <w:pPr>
        <w:tabs>
          <w:tab w:val="left" w:pos="780"/>
        </w:tabs>
        <w:ind w:left="780" w:hanging="360"/>
      </w:pPr>
    </w:lvl>
  </w:abstractNum>
  <w:abstractNum w:abstractNumId="4">
    <w:nsid w:val="05461F7D"/>
    <w:multiLevelType w:val="singleLevel"/>
    <w:tmpl w:val="05461F7D"/>
    <w:lvl w:ilvl="0" w:tentative="0">
      <w:start w:val="1"/>
      <w:numFmt w:val="bullet"/>
      <w:pStyle w:val="25"/>
      <w:lvlText w:val=""/>
      <w:lvlJc w:val="left"/>
      <w:pPr>
        <w:tabs>
          <w:tab w:val="left" w:pos="780"/>
        </w:tabs>
        <w:ind w:left="780" w:hanging="360"/>
      </w:pPr>
      <w:rPr>
        <w:rFonts w:hint="default" w:ascii="Wingdings" w:hAnsi="Wingdings"/>
      </w:rPr>
    </w:lvl>
  </w:abstractNum>
  <w:abstractNum w:abstractNumId="5">
    <w:nsid w:val="1B0F23C0"/>
    <w:multiLevelType w:val="singleLevel"/>
    <w:tmpl w:val="1B0F23C0"/>
    <w:lvl w:ilvl="0" w:tentative="0">
      <w:start w:val="1"/>
      <w:numFmt w:val="bullet"/>
      <w:pStyle w:val="17"/>
      <w:lvlText w:val=""/>
      <w:lvlJc w:val="left"/>
      <w:pPr>
        <w:tabs>
          <w:tab w:val="left" w:pos="360"/>
        </w:tabs>
        <w:ind w:left="360" w:hanging="360"/>
      </w:pPr>
      <w:rPr>
        <w:rFonts w:hint="default" w:ascii="Wingdings" w:hAnsi="Wingdings"/>
      </w:rPr>
    </w:lvl>
  </w:abstractNum>
  <w:num w:numId="1">
    <w:abstractNumId w:val="3"/>
  </w:num>
  <w:num w:numId="2">
    <w:abstractNumId w:val="1"/>
  </w:num>
  <w:num w:numId="3">
    <w:abstractNumId w:val="5"/>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57D9"/>
    <w:rsid w:val="00034616"/>
    <w:rsid w:val="0006063C"/>
    <w:rsid w:val="000B5F4D"/>
    <w:rsid w:val="0015074B"/>
    <w:rsid w:val="0029639D"/>
    <w:rsid w:val="00326F90"/>
    <w:rsid w:val="0034057B"/>
    <w:rsid w:val="00382644"/>
    <w:rsid w:val="003C7D22"/>
    <w:rsid w:val="00493D3C"/>
    <w:rsid w:val="0076470D"/>
    <w:rsid w:val="00AA1D8D"/>
    <w:rsid w:val="00AC2A75"/>
    <w:rsid w:val="00B25A49"/>
    <w:rsid w:val="00B47730"/>
    <w:rsid w:val="00CB0664"/>
    <w:rsid w:val="00CD165C"/>
    <w:rsid w:val="00D63B17"/>
    <w:rsid w:val="00E428FD"/>
    <w:rsid w:val="00FC693F"/>
    <w:rsid w:val="0CC13A9C"/>
    <w:rsid w:val="12990A73"/>
    <w:rsid w:val="1B2E6115"/>
    <w:rsid w:val="28F84733"/>
    <w:rsid w:val="328C1A4A"/>
    <w:rsid w:val="36D546CB"/>
    <w:rsid w:val="3C320CA1"/>
    <w:rsid w:val="4DA923AC"/>
    <w:rsid w:val="51581384"/>
    <w:rsid w:val="54CB78B2"/>
    <w:rsid w:val="5E1C5D14"/>
    <w:rsid w:val="5E3D2536"/>
    <w:rsid w:val="76AB66A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qFormat="1" w:unhideWhenUsed="0" w:uiPriority="0" w:semiHidden="0" w:name="macro"/>
    <w:lsdException w:uiPriority="99" w:name="toa heading"/>
    <w:lsdException w:unhideWhenUsed="0" w:uiPriority="0" w:semiHidden="0" w:name="List"/>
    <w:lsdException w:qFormat="1" w:unhideWhenUsed="0" w:uiPriority="0" w:semiHidden="0" w:name="List Bullet"/>
    <w:lsdException w:qFormat="1" w:unhideWhenUsed="0" w:uiPriority="0" w:semiHidden="0" w:name="List Number"/>
    <w:lsdException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uiPriority="99"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qFormat="1" w:unhideWhenUsed="0" w:uiPriority="0" w:semiHidden="0" w:name="Body Text"/>
    <w:lsdException w:uiPriority="99" w:name="Body Text Indent"/>
    <w:lsdException w:qFormat="1" w:unhideWhenUsed="0" w:uiPriority="0" w:semiHidden="0" w:name="List Continue"/>
    <w:lsdException w:qFormat="1" w:unhideWhenUsed="0" w:uiPriority="0" w:semiHidden="0" w:name="List Continue 2"/>
    <w:lsdException w:unhideWhenUsed="0" w:uiPriority="0" w:semiHidden="0"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unhideWhenUsed="0" w:uiPriority="60" w:semiHidden="0" w:name="Light Shading Accent 4"/>
    <w:lsdException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unhideWhenUsed="0" w:uiPriority="69" w:semiHidden="0" w:name="Medium Grid 3 Accent 4"/>
    <w:lsdException w:qFormat="1" w:unhideWhenUsed="0" w:uiPriority="70" w:semiHidden="0" w:name="Dark List Accent 4"/>
    <w:lsdException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val="0"/>
      <w:adjustRightInd w:val="0"/>
      <w:snapToGrid w:val="0"/>
      <w:spacing w:after="20" w:afterLines="20" w:line="288" w:lineRule="auto"/>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link w:val="157"/>
    <w:qFormat/>
    <w:uiPriority w:val="0"/>
    <w:pPr>
      <w:keepNext/>
      <w:keepLines/>
      <w:spacing w:after="80" w:afterLines="80"/>
      <w:outlineLvl w:val="0"/>
    </w:pPr>
    <w:rPr>
      <w:b/>
      <w:bCs/>
      <w:kern w:val="44"/>
      <w:sz w:val="36"/>
      <w:szCs w:val="36"/>
    </w:rPr>
  </w:style>
  <w:style w:type="paragraph" w:styleId="4">
    <w:name w:val="heading 2"/>
    <w:basedOn w:val="1"/>
    <w:next w:val="1"/>
    <w:link w:val="158"/>
    <w:unhideWhenUsed/>
    <w:qFormat/>
    <w:uiPriority w:val="0"/>
    <w:pPr>
      <w:keepNext/>
      <w:keepLines/>
      <w:spacing w:before="120" w:beforeLines="120" w:after="80" w:afterLines="80"/>
      <w:outlineLvl w:val="1"/>
    </w:pPr>
    <w:rPr>
      <w:b/>
      <w:bCs/>
      <w:sz w:val="32"/>
      <w:szCs w:val="32"/>
    </w:rPr>
  </w:style>
  <w:style w:type="paragraph" w:styleId="5">
    <w:name w:val="heading 3"/>
    <w:basedOn w:val="1"/>
    <w:next w:val="1"/>
    <w:link w:val="159"/>
    <w:unhideWhenUsed/>
    <w:qFormat/>
    <w:uiPriority w:val="0"/>
    <w:pPr>
      <w:keepNext/>
      <w:keepLines/>
      <w:spacing w:before="120" w:beforeLines="120" w:after="80" w:afterLines="80"/>
      <w:outlineLvl w:val="2"/>
    </w:pPr>
    <w:rPr>
      <w:b/>
      <w:bCs/>
      <w:sz w:val="30"/>
      <w:szCs w:val="30"/>
    </w:rPr>
  </w:style>
  <w:style w:type="paragraph" w:styleId="6">
    <w:name w:val="heading 4"/>
    <w:basedOn w:val="1"/>
    <w:next w:val="1"/>
    <w:link w:val="169"/>
    <w:unhideWhenUsed/>
    <w:qFormat/>
    <w:uiPriority w:val="0"/>
    <w:pPr>
      <w:keepNext/>
      <w:keepLines/>
      <w:spacing w:before="120" w:beforeLines="120" w:after="80" w:afterLines="80"/>
      <w:outlineLvl w:val="3"/>
    </w:pPr>
    <w:rPr>
      <w:b/>
      <w:bCs/>
      <w:sz w:val="28"/>
      <w:szCs w:val="28"/>
    </w:rPr>
  </w:style>
  <w:style w:type="paragraph" w:styleId="7">
    <w:name w:val="heading 5"/>
    <w:basedOn w:val="1"/>
    <w:next w:val="8"/>
    <w:link w:val="170"/>
    <w:unhideWhenUsed/>
    <w:qFormat/>
    <w:uiPriority w:val="0"/>
    <w:pPr>
      <w:keepNext/>
      <w:keepLines/>
      <w:spacing w:before="120" w:beforeLines="120" w:after="80" w:afterLines="80"/>
      <w:outlineLvl w:val="4"/>
    </w:pPr>
    <w:rPr>
      <w:b/>
      <w:bCs/>
    </w:rPr>
  </w:style>
  <w:style w:type="paragraph" w:styleId="9">
    <w:name w:val="heading 6"/>
    <w:basedOn w:val="1"/>
    <w:next w:val="8"/>
    <w:link w:val="171"/>
    <w:unhideWhenUsed/>
    <w:qFormat/>
    <w:uiPriority w:val="0"/>
    <w:pPr>
      <w:keepNext/>
      <w:keepLines/>
      <w:spacing w:before="120" w:beforeLines="120" w:after="80" w:afterLines="80"/>
      <w:outlineLvl w:val="5"/>
    </w:pPr>
    <w:rPr>
      <w:b/>
      <w:bCs/>
    </w:rPr>
  </w:style>
  <w:style w:type="paragraph" w:styleId="10">
    <w:name w:val="heading 7"/>
    <w:basedOn w:val="1"/>
    <w:next w:val="8"/>
    <w:link w:val="172"/>
    <w:unhideWhenUsed/>
    <w:qFormat/>
    <w:uiPriority w:val="0"/>
    <w:pPr>
      <w:keepNext/>
      <w:keepLines/>
      <w:spacing w:before="120" w:beforeLines="120" w:after="80" w:afterLines="80"/>
      <w:outlineLvl w:val="6"/>
    </w:pPr>
    <w:rPr>
      <w:b/>
      <w:bCs/>
    </w:rPr>
  </w:style>
  <w:style w:type="paragraph" w:styleId="11">
    <w:name w:val="heading 8"/>
    <w:basedOn w:val="1"/>
    <w:next w:val="8"/>
    <w:link w:val="173"/>
    <w:unhideWhenUsed/>
    <w:qFormat/>
    <w:uiPriority w:val="0"/>
    <w:pPr>
      <w:keepNext/>
      <w:keepLines/>
      <w:spacing w:before="120" w:beforeLines="120" w:after="80" w:afterLines="80"/>
      <w:outlineLvl w:val="7"/>
    </w:pPr>
    <w:rPr>
      <w:b/>
      <w:bCs/>
    </w:rPr>
  </w:style>
  <w:style w:type="paragraph" w:styleId="12">
    <w:name w:val="heading 9"/>
    <w:basedOn w:val="1"/>
    <w:next w:val="8"/>
    <w:link w:val="174"/>
    <w:unhideWhenUsed/>
    <w:qFormat/>
    <w:uiPriority w:val="0"/>
    <w:pPr>
      <w:keepNext/>
      <w:keepLines/>
      <w:spacing w:before="120" w:beforeLines="120" w:after="80" w:afterLines="80"/>
      <w:outlineLvl w:val="8"/>
    </w:pPr>
    <w:rPr>
      <w:b/>
      <w:bCs/>
    </w:rPr>
  </w:style>
  <w:style w:type="character" w:default="1" w:styleId="145">
    <w:name w:val="Default Paragraph Font"/>
    <w:semiHidden/>
    <w:unhideWhenUsed/>
    <w:uiPriority w:val="1"/>
  </w:style>
  <w:style w:type="table" w:default="1" w:styleId="45">
    <w:name w:val="Normal Table"/>
    <w:semiHidden/>
    <w:unhideWhenUsed/>
    <w:uiPriority w:val="99"/>
    <w:tblPr>
      <w:tblCellMar>
        <w:top w:w="0" w:type="dxa"/>
        <w:left w:w="108" w:type="dxa"/>
        <w:bottom w:w="0" w:type="dxa"/>
        <w:right w:w="108" w:type="dxa"/>
      </w:tblCellMar>
    </w:tblPr>
  </w:style>
  <w:style w:type="paragraph" w:styleId="2">
    <w:name w:val="macro"/>
    <w:link w:val="16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Times New Roman"/>
      <w:kern w:val="2"/>
      <w:sz w:val="24"/>
      <w:lang w:val="en-US" w:eastAsia="zh-CN" w:bidi="ar-SA"/>
    </w:rPr>
  </w:style>
  <w:style w:type="paragraph" w:styleId="8">
    <w:name w:val="Body Text"/>
    <w:basedOn w:val="1"/>
    <w:link w:val="163"/>
    <w:qFormat/>
    <w:uiPriority w:val="0"/>
    <w:pPr>
      <w:spacing w:after="120" w:afterLines="0"/>
    </w:pPr>
  </w:style>
  <w:style w:type="paragraph" w:styleId="13">
    <w:name w:val="List 3"/>
    <w:basedOn w:val="1"/>
    <w:qFormat/>
    <w:uiPriority w:val="0"/>
    <w:pPr>
      <w:ind w:left="100" w:leftChars="400" w:hanging="200" w:hangingChars="200"/>
    </w:pPr>
  </w:style>
  <w:style w:type="paragraph" w:styleId="14">
    <w:name w:val="List Number 2"/>
    <w:basedOn w:val="1"/>
    <w:qFormat/>
    <w:uiPriority w:val="0"/>
    <w:pPr>
      <w:numPr>
        <w:ilvl w:val="0"/>
        <w:numId w:val="1"/>
      </w:numPr>
    </w:pPr>
  </w:style>
  <w:style w:type="paragraph" w:styleId="15">
    <w:name w:val="List Number"/>
    <w:basedOn w:val="1"/>
    <w:qFormat/>
    <w:uiPriority w:val="0"/>
    <w:pPr>
      <w:numPr>
        <w:ilvl w:val="0"/>
        <w:numId w:val="2"/>
      </w:numPr>
    </w:pPr>
  </w:style>
  <w:style w:type="paragraph" w:styleId="16">
    <w:name w:val="caption"/>
    <w:basedOn w:val="1"/>
    <w:next w:val="1"/>
    <w:unhideWhenUsed/>
    <w:qFormat/>
    <w:uiPriority w:val="0"/>
    <w:rPr>
      <w:rFonts w:cs="Times New Roman"/>
    </w:rPr>
  </w:style>
  <w:style w:type="paragraph" w:styleId="17">
    <w:name w:val="List Bullet"/>
    <w:basedOn w:val="1"/>
    <w:qFormat/>
    <w:uiPriority w:val="0"/>
    <w:pPr>
      <w:numPr>
        <w:ilvl w:val="0"/>
        <w:numId w:val="3"/>
      </w:numPr>
    </w:pPr>
  </w:style>
  <w:style w:type="paragraph" w:styleId="18">
    <w:name w:val="annotation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19">
    <w:name w:val="Salutation"/>
    <w:basedOn w:val="1"/>
    <w:next w:val="1"/>
    <w:qFormat/>
    <w:uiPriority w:val="0"/>
  </w:style>
  <w:style w:type="paragraph" w:styleId="20">
    <w:name w:val="Body Text 3"/>
    <w:basedOn w:val="1"/>
    <w:link w:val="165"/>
    <w:qFormat/>
    <w:uiPriority w:val="0"/>
    <w:pPr>
      <w:spacing w:after="120" w:afterLines="0"/>
    </w:pPr>
    <w:rPr>
      <w:sz w:val="16"/>
    </w:rPr>
  </w:style>
  <w:style w:type="paragraph" w:styleId="21">
    <w:name w:val="List Bullet 3"/>
    <w:basedOn w:val="1"/>
    <w:qFormat/>
    <w:uiPriority w:val="0"/>
    <w:pPr>
      <w:numPr>
        <w:ilvl w:val="0"/>
        <w:numId w:val="4"/>
      </w:numPr>
    </w:pPr>
  </w:style>
  <w:style w:type="paragraph" w:styleId="22">
    <w:name w:val="List Number 3"/>
    <w:basedOn w:val="1"/>
    <w:qFormat/>
    <w:uiPriority w:val="0"/>
    <w:pPr>
      <w:numPr>
        <w:ilvl w:val="0"/>
        <w:numId w:val="5"/>
      </w:numPr>
    </w:pPr>
  </w:style>
  <w:style w:type="paragraph" w:styleId="23">
    <w:name w:val="List 2"/>
    <w:basedOn w:val="1"/>
    <w:uiPriority w:val="0"/>
    <w:pPr>
      <w:ind w:left="100" w:leftChars="200" w:hanging="200" w:hangingChars="200"/>
    </w:pPr>
  </w:style>
  <w:style w:type="paragraph" w:styleId="24">
    <w:name w:val="List Continue"/>
    <w:basedOn w:val="1"/>
    <w:qFormat/>
    <w:uiPriority w:val="0"/>
    <w:pPr>
      <w:spacing w:after="120" w:afterLines="0"/>
      <w:ind w:left="420" w:leftChars="200"/>
    </w:pPr>
  </w:style>
  <w:style w:type="paragraph" w:styleId="25">
    <w:name w:val="List Bullet 2"/>
    <w:basedOn w:val="1"/>
    <w:qFormat/>
    <w:uiPriority w:val="0"/>
    <w:pPr>
      <w:numPr>
        <w:ilvl w:val="0"/>
        <w:numId w:val="6"/>
      </w:numPr>
    </w:pPr>
  </w:style>
  <w:style w:type="paragraph" w:styleId="26">
    <w:name w:val="toc 3"/>
    <w:basedOn w:val="1"/>
    <w:next w:val="1"/>
    <w:qFormat/>
    <w:uiPriority w:val="0"/>
    <w:pPr>
      <w:ind w:left="840" w:leftChars="400"/>
    </w:pPr>
  </w:style>
  <w:style w:type="paragraph" w:styleId="27">
    <w:name w:val="Date"/>
    <w:basedOn w:val="1"/>
    <w:next w:val="1"/>
    <w:qFormat/>
    <w:uiPriority w:val="0"/>
    <w:pPr>
      <w:jc w:val="right"/>
    </w:pPr>
    <w:rPr>
      <w:color w:val="262626" w:themeColor="text1" w:themeTint="D9"/>
      <w14:textFill>
        <w14:solidFill>
          <w14:schemeClr w14:val="tx1">
            <w14:lumMod w14:val="85000"/>
            <w14:lumOff w14:val="15000"/>
          </w14:schemeClr>
        </w14:solidFill>
      </w14:textFill>
    </w:rPr>
  </w:style>
  <w:style w:type="paragraph" w:styleId="28">
    <w:name w:val="endnote text"/>
    <w:basedOn w:val="1"/>
    <w:qFormat/>
    <w:uiPriority w:val="0"/>
    <w:pPr>
      <w:jc w:val="left"/>
    </w:pPr>
    <w:rPr>
      <w:color w:val="262626" w:themeColor="text1" w:themeTint="D9"/>
      <w14:textFill>
        <w14:solidFill>
          <w14:schemeClr w14:val="tx1">
            <w14:lumMod w14:val="85000"/>
            <w14:lumOff w14:val="15000"/>
          </w14:schemeClr>
        </w14:solidFill>
      </w14:textFill>
    </w:rPr>
  </w:style>
  <w:style w:type="paragraph" w:styleId="29">
    <w:name w:val="Balloon Text"/>
    <w:basedOn w:val="1"/>
    <w:qFormat/>
    <w:uiPriority w:val="0"/>
    <w:rPr>
      <w:sz w:val="18"/>
      <w:szCs w:val="18"/>
    </w:rPr>
  </w:style>
  <w:style w:type="paragraph" w:styleId="30">
    <w:name w:val="footer"/>
    <w:basedOn w:val="1"/>
    <w:link w:val="155"/>
    <w:qFormat/>
    <w:uiPriority w:val="99"/>
    <w:pPr>
      <w:tabs>
        <w:tab w:val="center" w:pos="4153"/>
        <w:tab w:val="right" w:pos="8306"/>
      </w:tabs>
      <w:jc w:val="left"/>
    </w:pPr>
    <w:rPr>
      <w:sz w:val="18"/>
      <w:szCs w:val="18"/>
    </w:rPr>
  </w:style>
  <w:style w:type="paragraph" w:styleId="31">
    <w:name w:val="header"/>
    <w:basedOn w:val="1"/>
    <w:link w:val="154"/>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szCs w:val="18"/>
    </w:rPr>
  </w:style>
  <w:style w:type="paragraph" w:styleId="32">
    <w:name w:val="Signature"/>
    <w:basedOn w:val="1"/>
    <w:qFormat/>
    <w:uiPriority w:val="0"/>
    <w:pPr>
      <w:jc w:val="right"/>
    </w:pPr>
    <w:rPr>
      <w:color w:val="262626" w:themeColor="text1" w:themeTint="D9"/>
      <w14:textFill>
        <w14:solidFill>
          <w14:schemeClr w14:val="tx1">
            <w14:lumMod w14:val="85000"/>
            <w14:lumOff w14:val="15000"/>
          </w14:schemeClr>
        </w14:solidFill>
      </w14:textFill>
    </w:rPr>
  </w:style>
  <w:style w:type="paragraph" w:styleId="33">
    <w:name w:val="toc 1"/>
    <w:basedOn w:val="1"/>
    <w:next w:val="1"/>
    <w:qFormat/>
    <w:uiPriority w:val="0"/>
  </w:style>
  <w:style w:type="paragraph" w:styleId="34">
    <w:name w:val="Subtitle"/>
    <w:basedOn w:val="1"/>
    <w:next w:val="8"/>
    <w:link w:val="161"/>
    <w:qFormat/>
    <w:uiPriority w:val="0"/>
    <w:pPr>
      <w:spacing w:before="240" w:after="60" w:afterLines="0" w:line="312" w:lineRule="auto"/>
      <w:jc w:val="center"/>
      <w:outlineLvl w:val="1"/>
    </w:pPr>
    <w:rPr>
      <w:rFonts w:asciiTheme="majorHAnsi" w:hAnsiTheme="majorHAnsi" w:eastAsiaTheme="majorEastAsia"/>
      <w:b/>
      <w:kern w:val="28"/>
      <w:sz w:val="32"/>
      <w:szCs w:val="32"/>
    </w:rPr>
  </w:style>
  <w:style w:type="paragraph" w:styleId="35">
    <w:name w:val="List"/>
    <w:basedOn w:val="1"/>
    <w:uiPriority w:val="0"/>
    <w:pPr>
      <w:ind w:left="200" w:hanging="200" w:hangingChars="200"/>
    </w:pPr>
  </w:style>
  <w:style w:type="paragraph" w:styleId="36">
    <w:name w:val="footnote text"/>
    <w:basedOn w:val="1"/>
    <w:qFormat/>
    <w:uiPriority w:val="0"/>
    <w:pPr>
      <w:jc w:val="left"/>
    </w:pPr>
  </w:style>
  <w:style w:type="paragraph" w:styleId="37">
    <w:name w:val="toc 2"/>
    <w:basedOn w:val="1"/>
    <w:next w:val="1"/>
    <w:qFormat/>
    <w:uiPriority w:val="0"/>
    <w:pPr>
      <w:ind w:left="420" w:leftChars="200"/>
    </w:pPr>
  </w:style>
  <w:style w:type="paragraph" w:styleId="38">
    <w:name w:val="Body Text 2"/>
    <w:basedOn w:val="1"/>
    <w:link w:val="164"/>
    <w:qFormat/>
    <w:uiPriority w:val="0"/>
    <w:pPr>
      <w:spacing w:after="120" w:afterLines="0" w:line="480" w:lineRule="auto"/>
    </w:pPr>
  </w:style>
  <w:style w:type="paragraph" w:styleId="39">
    <w:name w:val="List Continue 2"/>
    <w:basedOn w:val="1"/>
    <w:qFormat/>
    <w:uiPriority w:val="0"/>
    <w:pPr>
      <w:spacing w:after="120" w:afterLines="0"/>
      <w:ind w:left="840" w:leftChars="400"/>
    </w:pPr>
  </w:style>
  <w:style w:type="paragraph" w:styleId="40">
    <w:name w:val="HTML Preformatted"/>
    <w:basedOn w:val="1"/>
    <w:qFormat/>
    <w:uiPriority w:val="0"/>
    <w:rPr>
      <w:rFonts w:ascii="Courier New" w:hAnsi="Courier New"/>
      <w:sz w:val="20"/>
    </w:rPr>
  </w:style>
  <w:style w:type="paragraph" w:styleId="41">
    <w:name w:val="Normal (Web)"/>
    <w:basedOn w:val="1"/>
    <w:qFormat/>
    <w:uiPriority w:val="0"/>
  </w:style>
  <w:style w:type="paragraph" w:styleId="42">
    <w:name w:val="List Continue 3"/>
    <w:basedOn w:val="1"/>
    <w:uiPriority w:val="0"/>
    <w:pPr>
      <w:spacing w:after="120" w:afterLines="0"/>
      <w:ind w:left="1260" w:leftChars="600"/>
    </w:pPr>
  </w:style>
  <w:style w:type="paragraph" w:styleId="43">
    <w:name w:val="Title"/>
    <w:basedOn w:val="1"/>
    <w:link w:val="160"/>
    <w:qFormat/>
    <w:uiPriority w:val="0"/>
    <w:pPr>
      <w:spacing w:after="100" w:afterLines="100"/>
      <w:jc w:val="center"/>
      <w:outlineLvl w:val="0"/>
    </w:pPr>
    <w:rPr>
      <w:rFonts w:asciiTheme="majorHAnsi" w:hAnsiTheme="majorHAnsi" w:eastAsiaTheme="majorEastAsia"/>
      <w:b/>
      <w:bCs/>
      <w:sz w:val="44"/>
      <w:szCs w:val="44"/>
    </w:rPr>
  </w:style>
  <w:style w:type="paragraph" w:styleId="44">
    <w:name w:val="annotation subject"/>
    <w:basedOn w:val="18"/>
    <w:next w:val="18"/>
    <w:qFormat/>
    <w:uiPriority w:val="0"/>
    <w:rPr>
      <w:b/>
      <w:color w:val="262626" w:themeColor="text1" w:themeTint="D9"/>
      <w14:textFill>
        <w14:solidFill>
          <w14:schemeClr w14:val="tx1">
            <w14:lumMod w14:val="85000"/>
            <w14:lumOff w14:val="15000"/>
          </w14:schemeClr>
        </w14:solidFill>
      </w14:textFill>
    </w:rPr>
  </w:style>
  <w:style w:type="table" w:styleId="46">
    <w:name w:val="Table Grid"/>
    <w:basedOn w:val="4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Light Shading"/>
    <w:basedOn w:val="45"/>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8">
    <w:name w:val="Light Shading Accent 1"/>
    <w:basedOn w:val="45"/>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9">
    <w:name w:val="Light Shading Accent 2"/>
    <w:basedOn w:val="45"/>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50">
    <w:name w:val="Light Shading Accent 3"/>
    <w:basedOn w:val="45"/>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51">
    <w:name w:val="Light Shading Accent 4"/>
    <w:basedOn w:val="45"/>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2">
    <w:name w:val="Light Shading Accent 5"/>
    <w:basedOn w:val="45"/>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53">
    <w:name w:val="Light Shading Accent 6"/>
    <w:basedOn w:val="45"/>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4">
    <w:name w:val="Light List"/>
    <w:basedOn w:val="45"/>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5">
    <w:name w:val="Light List Accent 1"/>
    <w:basedOn w:val="45"/>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6">
    <w:name w:val="Light List Accent 2"/>
    <w:basedOn w:val="45"/>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7">
    <w:name w:val="Light List Accent 3"/>
    <w:basedOn w:val="45"/>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8">
    <w:name w:val="Light List Accent 4"/>
    <w:basedOn w:val="45"/>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9">
    <w:name w:val="Light List Accent 5"/>
    <w:basedOn w:val="45"/>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60">
    <w:name w:val="Light List Accent 6"/>
    <w:basedOn w:val="45"/>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61">
    <w:name w:val="Light Grid"/>
    <w:basedOn w:val="45"/>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62">
    <w:name w:val="Light Grid Accent 1"/>
    <w:basedOn w:val="45"/>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63">
    <w:name w:val="Light Grid Accent 2"/>
    <w:basedOn w:val="45"/>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4">
    <w:name w:val="Light Grid Accent 3"/>
    <w:basedOn w:val="45"/>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5">
    <w:name w:val="Light Grid Accent 4"/>
    <w:basedOn w:val="45"/>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6">
    <w:name w:val="Light Grid Accent 5"/>
    <w:basedOn w:val="45"/>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7">
    <w:name w:val="Light Grid Accent 6"/>
    <w:basedOn w:val="45"/>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8">
    <w:name w:val="Medium Shading 1"/>
    <w:basedOn w:val="45"/>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9">
    <w:name w:val="Medium Shading 1 Accent 1"/>
    <w:basedOn w:val="45"/>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70">
    <w:name w:val="Medium Shading 1 Accent 2"/>
    <w:basedOn w:val="45"/>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71">
    <w:name w:val="Medium Shading 1 Accent 3"/>
    <w:basedOn w:val="45"/>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72">
    <w:name w:val="Medium Shading 1 Accent 4"/>
    <w:basedOn w:val="45"/>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73">
    <w:name w:val="Medium Shading 1 Accent 5"/>
    <w:basedOn w:val="45"/>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4">
    <w:name w:val="Medium Shading 1 Accent 6"/>
    <w:basedOn w:val="45"/>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5">
    <w:name w:val="Medium Shading 2"/>
    <w:basedOn w:val="45"/>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1"/>
    <w:basedOn w:val="45"/>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2"/>
    <w:basedOn w:val="45"/>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Shading 2 Accent 3"/>
    <w:basedOn w:val="4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9">
    <w:name w:val="Medium Shading 2 Accent 4"/>
    <w:basedOn w:val="45"/>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0">
    <w:name w:val="Medium Shading 2 Accent 5"/>
    <w:basedOn w:val="4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1">
    <w:name w:val="Medium Shading 2 Accent 6"/>
    <w:basedOn w:val="45"/>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82">
    <w:name w:val="Medium List 1"/>
    <w:basedOn w:val="45"/>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83">
    <w:name w:val="Medium List 1 Accent 1"/>
    <w:basedOn w:val="45"/>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4">
    <w:name w:val="Medium List 1 Accent 2"/>
    <w:basedOn w:val="45"/>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5">
    <w:name w:val="Medium List 1 Accent 3"/>
    <w:basedOn w:val="45"/>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6">
    <w:name w:val="Medium List 1 Accent 4"/>
    <w:basedOn w:val="45"/>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7">
    <w:name w:val="Medium List 1 Accent 5"/>
    <w:basedOn w:val="45"/>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8">
    <w:name w:val="Medium List 1 Accent 6"/>
    <w:basedOn w:val="45"/>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9">
    <w:name w:val="Medium List 2"/>
    <w:basedOn w:val="45"/>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1"/>
    <w:basedOn w:val="4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2"/>
    <w:basedOn w:val="4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List 2 Accent 3"/>
    <w:basedOn w:val="4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93">
    <w:name w:val="Medium List 2 Accent 4"/>
    <w:basedOn w:val="4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4">
    <w:name w:val="Medium List 2 Accent 5"/>
    <w:basedOn w:val="45"/>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5">
    <w:name w:val="Medium List 2 Accent 6"/>
    <w:basedOn w:val="45"/>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6">
    <w:name w:val="Medium Grid 1"/>
    <w:basedOn w:val="45"/>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7">
    <w:name w:val="Medium Grid 1 Accent 1"/>
    <w:basedOn w:val="45"/>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8">
    <w:name w:val="Medium Grid 1 Accent 2"/>
    <w:basedOn w:val="45"/>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9">
    <w:name w:val="Medium Grid 1 Accent 3"/>
    <w:basedOn w:val="45"/>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00">
    <w:name w:val="Medium Grid 1 Accent 4"/>
    <w:basedOn w:val="45"/>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01">
    <w:name w:val="Medium Grid 1 Accent 5"/>
    <w:basedOn w:val="45"/>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02">
    <w:name w:val="Medium Grid 1 Accent 6"/>
    <w:basedOn w:val="45"/>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03">
    <w:name w:val="Medium Grid 2"/>
    <w:basedOn w:val="4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4">
    <w:name w:val="Medium Grid 2 Accent 1"/>
    <w:basedOn w:val="45"/>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5">
    <w:name w:val="Medium Grid 2 Accent 2"/>
    <w:basedOn w:val="4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6">
    <w:name w:val="Medium Grid 2 Accent 3"/>
    <w:basedOn w:val="4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7">
    <w:name w:val="Medium Grid 2 Accent 4"/>
    <w:basedOn w:val="4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8">
    <w:name w:val="Medium Grid 2 Accent 5"/>
    <w:basedOn w:val="45"/>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9">
    <w:name w:val="Medium Grid 2 Accent 6"/>
    <w:basedOn w:val="45"/>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10">
    <w:name w:val="Medium Grid 3"/>
    <w:basedOn w:val="4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11">
    <w:name w:val="Medium Grid 3 Accent 1"/>
    <w:basedOn w:val="45"/>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12">
    <w:name w:val="Medium Grid 3 Accent 2"/>
    <w:basedOn w:val="4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13">
    <w:name w:val="Medium Grid 3 Accent 3"/>
    <w:basedOn w:val="4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4">
    <w:name w:val="Medium Grid 3 Accent 4"/>
    <w:basedOn w:val="45"/>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5">
    <w:name w:val="Medium Grid 3 Accent 5"/>
    <w:basedOn w:val="45"/>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6">
    <w:name w:val="Medium Grid 3 Accent 6"/>
    <w:basedOn w:val="45"/>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7">
    <w:name w:val="Dark List"/>
    <w:basedOn w:val="45"/>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8">
    <w:name w:val="Dark List Accent 1"/>
    <w:basedOn w:val="45"/>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9">
    <w:name w:val="Dark List Accent 2"/>
    <w:basedOn w:val="45"/>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20">
    <w:name w:val="Dark List Accent 3"/>
    <w:basedOn w:val="45"/>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21">
    <w:name w:val="Dark List Accent 4"/>
    <w:basedOn w:val="45"/>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22">
    <w:name w:val="Dark List Accent 5"/>
    <w:basedOn w:val="45"/>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23">
    <w:name w:val="Dark List Accent 6"/>
    <w:basedOn w:val="45"/>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4">
    <w:name w:val="Colorful Shading"/>
    <w:basedOn w:val="45"/>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5">
    <w:name w:val="Colorful Shading Accent 1"/>
    <w:basedOn w:val="45"/>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2"/>
    <w:basedOn w:val="45"/>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Shading Accent 3"/>
    <w:basedOn w:val="45"/>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8">
    <w:name w:val="Colorful Shading Accent 4"/>
    <w:basedOn w:val="45"/>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9">
    <w:name w:val="Colorful Shading Accent 5"/>
    <w:basedOn w:val="45"/>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30">
    <w:name w:val="Colorful Shading Accent 6"/>
    <w:basedOn w:val="45"/>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31">
    <w:name w:val="Colorful List"/>
    <w:basedOn w:val="45"/>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32">
    <w:name w:val="Colorful List Accent 1"/>
    <w:basedOn w:val="45"/>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3">
    <w:name w:val="Colorful List Accent 2"/>
    <w:basedOn w:val="45"/>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4">
    <w:name w:val="Colorful List Accent 3"/>
    <w:basedOn w:val="45"/>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5">
    <w:name w:val="Colorful List Accent 4"/>
    <w:basedOn w:val="45"/>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6">
    <w:name w:val="Colorful List Accent 5"/>
    <w:basedOn w:val="45"/>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7">
    <w:name w:val="Colorful List Accent 6"/>
    <w:basedOn w:val="45"/>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8">
    <w:name w:val="Colorful Grid"/>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9">
    <w:name w:val="Colorful Grid Accent 1"/>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40">
    <w:name w:val="Colorful Grid Accent 2"/>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1">
    <w:name w:val="Colorful Grid Accent 3"/>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Colorful Grid Accent 4"/>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3">
    <w:name w:val="Colorful Grid Accent 5"/>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4">
    <w:name w:val="Colorful Grid Accent 6"/>
    <w:basedOn w:val="45"/>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6">
    <w:name w:val="Strong"/>
    <w:basedOn w:val="145"/>
    <w:qFormat/>
    <w:uiPriority w:val="0"/>
    <w:rPr>
      <w:rFonts w:asciiTheme="minorHAnsi" w:hAnsiTheme="minorHAnsi" w:eastAsiaTheme="minorEastAsia"/>
      <w:b/>
    </w:rPr>
  </w:style>
  <w:style w:type="character" w:styleId="147">
    <w:name w:val="endnote reference"/>
    <w:basedOn w:val="145"/>
    <w:qFormat/>
    <w:uiPriority w:val="0"/>
    <w:rPr>
      <w:rFonts w:asciiTheme="minorHAnsi" w:hAnsiTheme="minorHAnsi" w:eastAsiaTheme="minorEastAsia"/>
      <w:color w:val="262626" w:themeColor="text1" w:themeTint="D9"/>
      <w:vertAlign w:val="superscript"/>
      <w14:textFill>
        <w14:solidFill>
          <w14:schemeClr w14:val="tx1">
            <w14:lumMod w14:val="85000"/>
            <w14:lumOff w14:val="15000"/>
          </w14:schemeClr>
        </w14:solidFill>
      </w14:textFill>
    </w:rPr>
  </w:style>
  <w:style w:type="character" w:styleId="148">
    <w:name w:val="page number"/>
    <w:qFormat/>
    <w:uiPriority w:val="0"/>
    <w:rPr>
      <w:rFonts w:cs="Times New Roman" w:asciiTheme="minorHAnsi" w:hAnsiTheme="minorHAnsi" w:eastAsiaTheme="minorEastAsia"/>
      <w:color w:val="262626" w:themeColor="text1" w:themeTint="D9"/>
      <w:spacing w:val="-6"/>
      <w:kern w:val="2"/>
      <w:sz w:val="28"/>
      <w:szCs w:val="28"/>
      <w:lang w:val="en-US" w:eastAsia="zh-CN" w:bidi="ar-SA"/>
      <w14:textFill>
        <w14:solidFill>
          <w14:schemeClr w14:val="tx1">
            <w14:lumMod w14:val="85000"/>
            <w14:lumOff w14:val="15000"/>
          </w14:schemeClr>
        </w14:solidFill>
      </w14:textFill>
    </w:rPr>
  </w:style>
  <w:style w:type="character" w:styleId="149">
    <w:name w:val="FollowedHyperlink"/>
    <w:basedOn w:val="145"/>
    <w:qFormat/>
    <w:uiPriority w:val="0"/>
    <w:rPr>
      <w:rFonts w:cs="Times New Roman" w:asciiTheme="minorHAnsi" w:hAnsiTheme="minorHAnsi" w:eastAsiaTheme="minorEastAsia"/>
      <w:color w:val="800080"/>
      <w:spacing w:val="-6"/>
      <w:kern w:val="2"/>
      <w:sz w:val="24"/>
      <w:szCs w:val="24"/>
      <w:u w:val="single"/>
      <w:lang w:val="en-US" w:eastAsia="zh-CN" w:bidi="ar-SA"/>
    </w:rPr>
  </w:style>
  <w:style w:type="character" w:styleId="150">
    <w:name w:val="Emphasis"/>
    <w:basedOn w:val="145"/>
    <w:qFormat/>
    <w:uiPriority w:val="0"/>
    <w:rPr>
      <w:i/>
    </w:rPr>
  </w:style>
  <w:style w:type="character" w:styleId="151">
    <w:name w:val="Hyperlink"/>
    <w:basedOn w:val="145"/>
    <w:qFormat/>
    <w:uiPriority w:val="0"/>
    <w:rPr>
      <w:rFonts w:cs="Times New Roman" w:asciiTheme="minorHAnsi" w:hAnsiTheme="minorHAnsi" w:eastAsiaTheme="minorEastAsia"/>
      <w:caps/>
      <w:color w:val="0000FF"/>
      <w:spacing w:val="-6"/>
      <w:kern w:val="2"/>
      <w:sz w:val="24"/>
      <w:szCs w:val="24"/>
      <w:u w:val="single"/>
      <w:lang w:val="en-US" w:eastAsia="zh-CN" w:bidi="ar-SA"/>
    </w:rPr>
  </w:style>
  <w:style w:type="character" w:styleId="152">
    <w:name w:val="annotation reference"/>
    <w:basedOn w:val="145"/>
    <w:qFormat/>
    <w:uiPriority w:val="0"/>
    <w:rPr>
      <w:rFonts w:asciiTheme="minorHAnsi" w:hAnsiTheme="minorHAnsi" w:eastAsiaTheme="minorEastAsia"/>
      <w:color w:val="262626" w:themeColor="text1" w:themeTint="D9"/>
      <w:sz w:val="21"/>
      <w:szCs w:val="21"/>
      <w14:textFill>
        <w14:solidFill>
          <w14:schemeClr w14:val="tx1">
            <w14:lumMod w14:val="85000"/>
            <w14:lumOff w14:val="15000"/>
          </w14:schemeClr>
        </w14:solidFill>
      </w14:textFill>
    </w:rPr>
  </w:style>
  <w:style w:type="character" w:styleId="153">
    <w:name w:val="footnote reference"/>
    <w:basedOn w:val="145"/>
    <w:qFormat/>
    <w:uiPriority w:val="0"/>
    <w:rPr>
      <w:rFonts w:asciiTheme="minorHAnsi" w:hAnsiTheme="minorHAnsi" w:eastAsiaTheme="minorEastAsia"/>
      <w:color w:val="262626" w:themeColor="text1" w:themeTint="D9"/>
      <w:vertAlign w:val="superscript"/>
      <w14:textFill>
        <w14:solidFill>
          <w14:schemeClr w14:val="tx1">
            <w14:lumMod w14:val="85000"/>
            <w14:lumOff w14:val="15000"/>
          </w14:schemeClr>
        </w14:solidFill>
      </w14:textFill>
    </w:rPr>
  </w:style>
  <w:style w:type="character" w:customStyle="1" w:styleId="154">
    <w:name w:val="页眉 字符"/>
    <w:link w:val="31"/>
    <w:uiPriority w:val="99"/>
    <w:rPr>
      <w:sz w:val="18"/>
      <w:szCs w:val="18"/>
    </w:rPr>
  </w:style>
  <w:style w:type="character" w:customStyle="1" w:styleId="155">
    <w:name w:val="页脚 字符"/>
    <w:link w:val="30"/>
    <w:qFormat/>
    <w:uiPriority w:val="99"/>
    <w:rPr>
      <w:sz w:val="18"/>
      <w:szCs w:val="18"/>
    </w:rPr>
  </w:style>
  <w:style w:type="paragraph" w:styleId="156">
    <w:name w:val="No Spacing"/>
    <w:qFormat/>
    <w:uiPriority w:val="1"/>
    <w:rPr>
      <w:rFonts w:asciiTheme="minorHAnsi" w:hAnsiTheme="minorHAnsi" w:eastAsiaTheme="minorEastAsia" w:cstheme="minorBidi"/>
      <w:sz w:val="22"/>
      <w:szCs w:val="22"/>
      <w:lang w:val="en-US" w:eastAsia="en-US" w:bidi="ar-SA"/>
    </w:rPr>
  </w:style>
  <w:style w:type="character" w:customStyle="1" w:styleId="157">
    <w:name w:val="标题 1 字符"/>
    <w:link w:val="3"/>
    <w:qFormat/>
    <w:uiPriority w:val="9"/>
    <w:rPr>
      <w:b/>
      <w:bCs/>
      <w:kern w:val="44"/>
      <w:sz w:val="36"/>
      <w:szCs w:val="36"/>
    </w:rPr>
  </w:style>
  <w:style w:type="character" w:customStyle="1" w:styleId="158">
    <w:name w:val="标题 2 字符"/>
    <w:link w:val="4"/>
    <w:uiPriority w:val="9"/>
    <w:rPr>
      <w:b/>
      <w:bCs/>
      <w:sz w:val="32"/>
      <w:szCs w:val="32"/>
    </w:rPr>
  </w:style>
  <w:style w:type="character" w:customStyle="1" w:styleId="159">
    <w:name w:val="标题 3 字符"/>
    <w:link w:val="5"/>
    <w:uiPriority w:val="9"/>
    <w:rPr>
      <w:b/>
      <w:bCs/>
      <w:sz w:val="30"/>
      <w:szCs w:val="30"/>
    </w:rPr>
  </w:style>
  <w:style w:type="character" w:customStyle="1" w:styleId="160">
    <w:name w:val="标题 字符"/>
    <w:link w:val="43"/>
    <w:qFormat/>
    <w:uiPriority w:val="10"/>
    <w:rPr>
      <w:rFonts w:asciiTheme="majorHAnsi" w:hAnsiTheme="majorHAnsi" w:eastAsiaTheme="majorEastAsia"/>
      <w:b/>
      <w:bCs/>
      <w:sz w:val="44"/>
      <w:szCs w:val="44"/>
    </w:rPr>
  </w:style>
  <w:style w:type="character" w:customStyle="1" w:styleId="161">
    <w:name w:val="副标题 字符"/>
    <w:link w:val="34"/>
    <w:qFormat/>
    <w:uiPriority w:val="11"/>
    <w:rPr>
      <w:rFonts w:asciiTheme="majorHAnsi" w:hAnsiTheme="majorHAnsi" w:eastAsiaTheme="majorEastAsia"/>
      <w:b/>
      <w:kern w:val="28"/>
      <w:sz w:val="32"/>
      <w:szCs w:val="32"/>
    </w:rPr>
  </w:style>
  <w:style w:type="paragraph" w:styleId="162">
    <w:name w:val="List Paragraph"/>
    <w:basedOn w:val="1"/>
    <w:qFormat/>
    <w:uiPriority w:val="34"/>
    <w:pPr>
      <w:ind w:left="720"/>
      <w:contextualSpacing/>
    </w:pPr>
  </w:style>
  <w:style w:type="character" w:customStyle="1" w:styleId="163">
    <w:name w:val="正文文本 字符"/>
    <w:link w:val="8"/>
    <w:uiPriority w:val="99"/>
  </w:style>
  <w:style w:type="character" w:customStyle="1" w:styleId="164">
    <w:name w:val="正文文本 2 字符"/>
    <w:link w:val="38"/>
    <w:uiPriority w:val="99"/>
  </w:style>
  <w:style w:type="character" w:customStyle="1" w:styleId="165">
    <w:name w:val="正文文本 3 字符"/>
    <w:link w:val="20"/>
    <w:uiPriority w:val="99"/>
    <w:rPr>
      <w:sz w:val="16"/>
    </w:rPr>
  </w:style>
  <w:style w:type="character" w:customStyle="1" w:styleId="166">
    <w:name w:val="宏文本 字符"/>
    <w:link w:val="2"/>
    <w:qFormat/>
    <w:uiPriority w:val="99"/>
    <w:rPr>
      <w:rFonts w:ascii="Courier New" w:hAnsi="Courier New"/>
      <w:kern w:val="2"/>
      <w:sz w:val="24"/>
      <w:lang w:val="en-US" w:eastAsia="zh-CN"/>
    </w:rPr>
  </w:style>
  <w:style w:type="paragraph" w:styleId="167">
    <w:name w:val="Quote"/>
    <w:basedOn w:val="1"/>
    <w:next w:val="1"/>
    <w:link w:val="168"/>
    <w:qFormat/>
    <w:uiPriority w:val="29"/>
    <w:rPr>
      <w:i/>
      <w:iCs/>
      <w:color w:val="000000" w:themeColor="text1"/>
      <w14:textFill>
        <w14:solidFill>
          <w14:schemeClr w14:val="tx1"/>
        </w14:solidFill>
      </w14:textFill>
    </w:rPr>
  </w:style>
  <w:style w:type="character" w:customStyle="1" w:styleId="168">
    <w:name w:val="引用 字符"/>
    <w:basedOn w:val="145"/>
    <w:link w:val="167"/>
    <w:qFormat/>
    <w:uiPriority w:val="29"/>
    <w:rPr>
      <w:i/>
      <w:iCs/>
      <w:color w:val="000000" w:themeColor="text1"/>
      <w14:textFill>
        <w14:solidFill>
          <w14:schemeClr w14:val="tx1"/>
        </w14:solidFill>
      </w14:textFill>
    </w:rPr>
  </w:style>
  <w:style w:type="character" w:customStyle="1" w:styleId="169">
    <w:name w:val="标题 4 字符"/>
    <w:link w:val="6"/>
    <w:semiHidden/>
    <w:qFormat/>
    <w:uiPriority w:val="9"/>
    <w:rPr>
      <w:b/>
      <w:bCs/>
      <w:sz w:val="28"/>
      <w:szCs w:val="28"/>
    </w:rPr>
  </w:style>
  <w:style w:type="character" w:customStyle="1" w:styleId="170">
    <w:name w:val="标题 5 字符"/>
    <w:link w:val="7"/>
    <w:semiHidden/>
    <w:uiPriority w:val="9"/>
    <w:rPr>
      <w:b/>
      <w:bCs/>
    </w:rPr>
  </w:style>
  <w:style w:type="character" w:customStyle="1" w:styleId="171">
    <w:name w:val="标题 6 字符"/>
    <w:link w:val="9"/>
    <w:semiHidden/>
    <w:qFormat/>
    <w:uiPriority w:val="9"/>
    <w:rPr>
      <w:rFonts w:asciiTheme="minorHAnsi" w:hAnsiTheme="minorHAnsi" w:eastAsiaTheme="minorEastAsia"/>
      <w:b/>
      <w:bCs/>
    </w:rPr>
  </w:style>
  <w:style w:type="character" w:customStyle="1" w:styleId="172">
    <w:name w:val="标题 7 字符"/>
    <w:link w:val="10"/>
    <w:semiHidden/>
    <w:qFormat/>
    <w:uiPriority w:val="9"/>
    <w:rPr>
      <w:rFonts w:asciiTheme="minorHAnsi" w:hAnsiTheme="minorHAnsi" w:eastAsiaTheme="minorEastAsia"/>
      <w:b/>
      <w:bCs/>
    </w:rPr>
  </w:style>
  <w:style w:type="character" w:customStyle="1" w:styleId="173">
    <w:name w:val="标题 8 字符"/>
    <w:link w:val="11"/>
    <w:semiHidden/>
    <w:qFormat/>
    <w:uiPriority w:val="9"/>
    <w:rPr>
      <w:rFonts w:asciiTheme="minorHAnsi" w:hAnsiTheme="minorHAnsi" w:eastAsiaTheme="minorEastAsia"/>
      <w:b/>
      <w:bCs/>
    </w:rPr>
  </w:style>
  <w:style w:type="character" w:customStyle="1" w:styleId="174">
    <w:name w:val="标题 9 字符"/>
    <w:link w:val="12"/>
    <w:semiHidden/>
    <w:qFormat/>
    <w:uiPriority w:val="9"/>
    <w:rPr>
      <w:rFonts w:asciiTheme="minorHAnsi" w:hAnsiTheme="minorHAnsi" w:eastAsiaTheme="minorEastAsia"/>
      <w:b/>
      <w:bCs/>
      <w:sz w:val="24"/>
    </w:rPr>
  </w:style>
  <w:style w:type="paragraph" w:styleId="175">
    <w:name w:val="Intense Quote"/>
    <w:basedOn w:val="1"/>
    <w:next w:val="1"/>
    <w:link w:val="17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76">
    <w:name w:val="明显引用 字符"/>
    <w:basedOn w:val="145"/>
    <w:link w:val="175"/>
    <w:qFormat/>
    <w:uiPriority w:val="30"/>
    <w:rPr>
      <w:b/>
      <w:bCs/>
      <w:i/>
      <w:iCs/>
      <w:color w:val="4F81BD" w:themeColor="accent1"/>
      <w14:textFill>
        <w14:solidFill>
          <w14:schemeClr w14:val="accent1"/>
        </w14:solidFill>
      </w14:textFill>
    </w:rPr>
  </w:style>
  <w:style w:type="character" w:customStyle="1" w:styleId="177">
    <w:name w:val="不明显强调1"/>
    <w:basedOn w:val="145"/>
    <w:qFormat/>
    <w:uiPriority w:val="19"/>
    <w:rPr>
      <w:i/>
      <w:iCs/>
      <w:color w:val="808080" w:themeColor="text1" w:themeTint="80"/>
      <w14:textFill>
        <w14:solidFill>
          <w14:schemeClr w14:val="tx1">
            <w14:lumMod w14:val="50000"/>
            <w14:lumOff w14:val="50000"/>
          </w14:schemeClr>
        </w14:solidFill>
      </w14:textFill>
    </w:rPr>
  </w:style>
  <w:style w:type="character" w:customStyle="1" w:styleId="178">
    <w:name w:val="明显强调1"/>
    <w:basedOn w:val="145"/>
    <w:qFormat/>
    <w:uiPriority w:val="21"/>
    <w:rPr>
      <w:b/>
      <w:bCs/>
      <w:i/>
      <w:iCs/>
      <w:color w:val="4F81BD" w:themeColor="accent1"/>
      <w14:textFill>
        <w14:solidFill>
          <w14:schemeClr w14:val="accent1"/>
        </w14:solidFill>
      </w14:textFill>
    </w:rPr>
  </w:style>
  <w:style w:type="character" w:customStyle="1" w:styleId="179">
    <w:name w:val="不明显参考1"/>
    <w:basedOn w:val="145"/>
    <w:qFormat/>
    <w:uiPriority w:val="31"/>
    <w:rPr>
      <w:smallCaps/>
      <w:color w:val="C0504D" w:themeColor="accent2"/>
      <w:u w:val="single"/>
      <w14:textFill>
        <w14:solidFill>
          <w14:schemeClr w14:val="accent2"/>
        </w14:solidFill>
      </w14:textFill>
    </w:rPr>
  </w:style>
  <w:style w:type="character" w:customStyle="1" w:styleId="180">
    <w:name w:val="明显参考1"/>
    <w:basedOn w:val="145"/>
    <w:qFormat/>
    <w:uiPriority w:val="32"/>
    <w:rPr>
      <w:b/>
      <w:bCs/>
      <w:smallCaps/>
      <w:color w:val="C0504D" w:themeColor="accent2"/>
      <w:spacing w:val="5"/>
      <w:u w:val="single"/>
      <w14:textFill>
        <w14:solidFill>
          <w14:schemeClr w14:val="accent2"/>
        </w14:solidFill>
      </w14:textFill>
    </w:rPr>
  </w:style>
  <w:style w:type="character" w:customStyle="1" w:styleId="181">
    <w:name w:val="书籍标题1"/>
    <w:basedOn w:val="145"/>
    <w:qFormat/>
    <w:uiPriority w:val="33"/>
    <w:rPr>
      <w:b/>
      <w:bCs/>
      <w:smallCaps/>
      <w:spacing w:val="5"/>
    </w:rPr>
  </w:style>
  <w:style w:type="paragraph" w:customStyle="1" w:styleId="182">
    <w:name w:val="TOC 标题1"/>
    <w:basedOn w:val="3"/>
    <w:next w:val="1"/>
    <w:semiHidden/>
    <w:unhideWhenUsed/>
    <w:qFormat/>
    <w:uiPriority w:val="39"/>
    <w:pPr>
      <w:outlineLvl w:val="9"/>
    </w:pPr>
  </w:style>
  <w:style w:type="paragraph" w:customStyle="1" w:styleId="183">
    <w:name w:val="文档说明标题"/>
    <w:next w:val="1"/>
    <w:autoRedefine/>
    <w:qFormat/>
    <w:uiPriority w:val="0"/>
    <w:pPr>
      <w:adjustRightInd w:val="0"/>
      <w:snapToGrid w:val="0"/>
      <w:spacing w:before="50" w:beforeLines="50" w:line="312" w:lineRule="auto"/>
      <w:jc w:val="center"/>
    </w:pPr>
    <w:rPr>
      <w:rFonts w:cs="Times New Roman" w:asciiTheme="majorHAnsi" w:hAnsiTheme="majorHAnsi" w:eastAsiaTheme="majorEastAsia"/>
      <w:b/>
      <w:sz w:val="32"/>
      <w:szCs w:val="32"/>
      <w:lang w:val="en-US" w:eastAsia="zh-Hans" w:bidi="ar-SA"/>
    </w:rPr>
  </w:style>
  <w:style w:type="paragraph" w:customStyle="1" w:styleId="184">
    <w:name w:val="章标题"/>
    <w:next w:val="1"/>
    <w:autoRedefine/>
    <w:qFormat/>
    <w:uiPriority w:val="0"/>
    <w:pPr>
      <w:keepNext/>
      <w:keepLines/>
      <w:adjustRightInd w:val="0"/>
      <w:snapToGrid w:val="0"/>
      <w:spacing w:before="50" w:beforeLines="50" w:line="312" w:lineRule="auto"/>
      <w:jc w:val="center"/>
      <w:outlineLvl w:val="0"/>
    </w:pPr>
    <w:rPr>
      <w:rFonts w:cs="Times New Roman" w:asciiTheme="majorHAnsi" w:hAnsiTheme="majorHAnsi" w:eastAsiaTheme="majorEastAsia"/>
      <w:b/>
      <w:bCs/>
      <w:kern w:val="44"/>
      <w:sz w:val="32"/>
      <w:szCs w:val="32"/>
      <w:lang w:val="en-US" w:eastAsia="zh-Hans" w:bidi="ar-SA"/>
    </w:rPr>
  </w:style>
  <w:style w:type="paragraph" w:customStyle="1" w:styleId="185">
    <w:name w:val="节标题"/>
    <w:next w:val="1"/>
    <w:autoRedefine/>
    <w:qFormat/>
    <w:uiPriority w:val="0"/>
    <w:pPr>
      <w:keepNext/>
      <w:keepLines/>
      <w:adjustRightInd w:val="0"/>
      <w:snapToGrid w:val="0"/>
      <w:spacing w:before="50" w:beforeLines="50" w:line="312" w:lineRule="auto"/>
      <w:jc w:val="center"/>
      <w:outlineLvl w:val="0"/>
    </w:pPr>
    <w:rPr>
      <w:rFonts w:cs="Times New Roman" w:asciiTheme="majorHAnsi" w:hAnsiTheme="majorHAnsi" w:eastAsiaTheme="majorEastAsia"/>
      <w:b/>
      <w:kern w:val="44"/>
      <w:sz w:val="30"/>
      <w:szCs w:val="30"/>
      <w:lang w:val="en-US" w:eastAsia="zh-Hans" w:bidi="ar-SA"/>
    </w:rPr>
  </w:style>
  <w:style w:type="paragraph" w:customStyle="1" w:styleId="186">
    <w:name w:val="附录标题"/>
    <w:next w:val="8"/>
    <w:autoRedefine/>
    <w:qFormat/>
    <w:uiPriority w:val="0"/>
    <w:pPr>
      <w:keepNext/>
      <w:keepLines/>
      <w:adjustRightInd w:val="0"/>
      <w:snapToGrid w:val="0"/>
      <w:spacing w:before="50" w:beforeLines="50" w:line="312" w:lineRule="auto"/>
      <w:jc w:val="center"/>
      <w:outlineLvl w:val="0"/>
    </w:pPr>
    <w:rPr>
      <w:rFonts w:cs="Times New Roman" w:asciiTheme="majorHAnsi" w:hAnsiTheme="majorHAnsi" w:eastAsiaTheme="majorEastAsia"/>
      <w:b/>
      <w:kern w:val="44"/>
      <w:sz w:val="32"/>
      <w:szCs w:val="32"/>
      <w:lang w:val="en-US" w:eastAsia="zh-Hans" w:bidi="ar-SA"/>
    </w:rPr>
  </w:style>
  <w:style w:type="character" w:customStyle="1" w:styleId="187">
    <w:name w:val="摘要"/>
    <w:basedOn w:val="145"/>
    <w:autoRedefine/>
    <w:qFormat/>
    <w:uiPriority w:val="0"/>
    <w:rPr>
      <w:rFonts w:hint="eastAsia" w:ascii="宋体" w:hAnsi="宋体" w:eastAsia="宋体"/>
      <w:b/>
      <w:lang w:val="en-US" w:eastAsia="zh-Hans"/>
    </w:rPr>
  </w:style>
  <w:style w:type="character" w:customStyle="1" w:styleId="188">
    <w:name w:val="关键词"/>
    <w:basedOn w:val="145"/>
    <w:autoRedefine/>
    <w:qFormat/>
    <w:uiPriority w:val="0"/>
    <w:rPr>
      <w:rFonts w:hint="eastAsia" w:ascii="宋体" w:hAnsi="宋体" w:eastAsia="宋体"/>
      <w:b/>
      <w:lang w:val="en-US" w:eastAsia="zh-Hans"/>
    </w:rPr>
  </w:style>
  <w:style w:type="paragraph" w:customStyle="1" w:styleId="189">
    <w:name w:val="题注1"/>
    <w:basedOn w:val="1"/>
    <w:autoRedefine/>
    <w:qFormat/>
    <w:uiPriority w:val="0"/>
    <w:pPr>
      <w:jc w:val="center"/>
    </w:pPr>
    <w:rPr>
      <w:lang w:eastAsia="zh-Hans"/>
    </w:rPr>
  </w:style>
  <w:style w:type="paragraph" w:customStyle="1" w:styleId="190">
    <w:name w:val="目录标题"/>
    <w:basedOn w:val="1"/>
    <w:qFormat/>
    <w:uiPriority w:val="0"/>
    <w:pPr>
      <w:spacing w:afterLines="0" w:line="240" w:lineRule="auto"/>
      <w:jc w:val="center"/>
    </w:pPr>
    <w:rPr>
      <w:b/>
      <w:sz w:val="28"/>
      <w:szCs w:val="28"/>
    </w:rPr>
  </w:style>
  <w:style w:type="paragraph" w:customStyle="1" w:styleId="191">
    <w:name w:val="主送对象"/>
    <w:next w:val="8"/>
    <w:qFormat/>
    <w:uiPriority w:val="0"/>
    <w:pPr>
      <w:adjustRightInd w:val="0"/>
      <w:snapToGrid w:val="0"/>
      <w:spacing w:line="576" w:lineRule="exact"/>
    </w:pPr>
    <w:rPr>
      <w:rFonts w:cs="Times New Roman" w:asciiTheme="minorHAnsi" w:hAnsiTheme="minorHAnsi" w:eastAsiaTheme="minorEastAsia"/>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192">
    <w:name w:val="致谢标题"/>
    <w:qFormat/>
    <w:uiPriority w:val="0"/>
    <w:pPr>
      <w:keepNext/>
      <w:keepLines/>
      <w:adjustRightInd w:val="0"/>
      <w:snapToGrid w:val="0"/>
      <w:spacing w:before="50" w:beforeLines="50" w:line="312" w:lineRule="auto"/>
      <w:jc w:val="center"/>
      <w:outlineLvl w:val="0"/>
    </w:pPr>
    <w:rPr>
      <w:rFonts w:ascii="Calibri" w:hAnsi="Calibri" w:eastAsia="宋体" w:cs="Times New Roman"/>
      <w:b/>
      <w:bCs/>
      <w:kern w:val="44"/>
      <w:sz w:val="32"/>
      <w:szCs w:val="32"/>
      <w:lang w:val="en-US" w:eastAsia="zh-CN" w:bidi="ar-SA"/>
    </w:rPr>
  </w:style>
  <w:style w:type="paragraph" w:customStyle="1" w:styleId="193">
    <w:name w:val="参考文献标题"/>
    <w:qFormat/>
    <w:uiPriority w:val="0"/>
    <w:pPr>
      <w:keepNext/>
      <w:keepLines/>
      <w:spacing w:before="50" w:beforeLines="50" w:after="20" w:afterLines="20" w:line="312" w:lineRule="auto"/>
      <w:jc w:val="center"/>
      <w:outlineLvl w:val="0"/>
    </w:pPr>
    <w:rPr>
      <w:rFonts w:ascii="Calibri" w:hAnsi="Calibri" w:eastAsia="宋体" w:cs="Times New Roman"/>
      <w:b/>
      <w:bCs/>
      <w:kern w:val="44"/>
      <w:sz w:val="32"/>
      <w:szCs w:val="32"/>
      <w:lang w:val="en-US" w:eastAsia="zh-CN" w:bidi="ar-SA"/>
    </w:rPr>
  </w:style>
  <w:style w:type="paragraph" w:customStyle="1" w:styleId="194">
    <w:name w:val="声明标题"/>
    <w:qFormat/>
    <w:uiPriority w:val="0"/>
    <w:pPr>
      <w:keepNext/>
      <w:keepLines/>
      <w:adjustRightInd w:val="0"/>
      <w:snapToGrid w:val="0"/>
      <w:spacing w:before="50" w:beforeLines="50" w:line="312" w:lineRule="auto"/>
      <w:jc w:val="center"/>
      <w:outlineLvl w:val="0"/>
    </w:pPr>
    <w:rPr>
      <w:rFonts w:cs="Times New Roman" w:asciiTheme="majorHAnsi" w:hAnsiTheme="majorHAnsi" w:eastAsiaTheme="majorEastAsia"/>
      <w:b/>
      <w:bCs/>
      <w:kern w:val="44"/>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numbering" Target="numbering.xml"/><Relationship Id="rId15" Type="http://schemas.openxmlformats.org/officeDocument/2006/relationships/image" Target="media/image1.jpe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15</Pages>
  <Words>4559</Words>
  <Characters>4805</Characters>
  <Lines>201</Lines>
  <Paragraphs>194</Paragraphs>
  <TotalTime>66</TotalTime>
  <ScaleCrop>false</ScaleCrop>
  <LinksUpToDate>false</LinksUpToDate>
  <CharactersWithSpaces>4863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十一黎夏</cp:lastModifiedBy>
  <dcterms:modified xsi:type="dcterms:W3CDTF">2026-09-28T04:02:44Z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eyJoZGlkIjoiYTFiOWMzNGI0MTg2ZDdhYWNiODZjMDhlNjU3N2U4OTQiLCJ1c2VySWQiOiIyNTA1MTA3NjYifQ==</vt:lpwstr>
  </property>
  <property fmtid="{D5CDD505-2E9C-101B-9397-08002B2CF9AE}" pid="3" name="KSOProductBuildVer">
    <vt:lpwstr>2052-12.1.0.28505</vt:lpwstr>
  </property>
  <property fmtid="{D5CDD505-2E9C-101B-9397-08002B2CF9AE}" pid="4" name="ICV">
    <vt:lpwstr>28A12EFBE3E24D9893A9B3DD48124F8C_12</vt:lpwstr>
  </property>
</Properties>
</file>