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A7542"/>
    <w:p w14:paraId="2691244B"/>
    <w:p w14:paraId="292A1761"/>
    <w:p w14:paraId="4ECFBEAD">
      <w:pPr>
        <w:widowControl w:val="0"/>
        <w:spacing w:after="0" w:line="560" w:lineRule="exact"/>
        <w:jc w:val="center"/>
        <w:rPr>
          <w:rFonts w:ascii="方正小标宋" w:hAnsi="仿宋" w:eastAsia="方正小标宋"/>
          <w:sz w:val="44"/>
          <w:szCs w:val="44"/>
          <w:lang w:eastAsia="zh-CN"/>
        </w:rPr>
      </w:pPr>
      <w:r>
        <w:rPr>
          <w:rFonts w:hint="eastAsia" w:ascii="方正小标宋" w:hAnsi="仿宋" w:eastAsia="方正小标宋" w:cs="方正小标宋_GBK"/>
          <w:kern w:val="2"/>
          <w:sz w:val="44"/>
          <w:szCs w:val="44"/>
          <w:lang w:eastAsia="zh-CN"/>
        </w:rPr>
        <w:t>安徽省职业技能竞赛</w:t>
      </w:r>
    </w:p>
    <w:p w14:paraId="12D2D5E8">
      <w:pPr>
        <w:jc w:val="center"/>
        <w:rPr>
          <w:rFonts w:ascii="方正小标宋" w:hAnsi="仿宋" w:eastAsia="方正小标宋"/>
          <w:sz w:val="44"/>
          <w:szCs w:val="44"/>
          <w:lang w:eastAsia="zh-CN"/>
        </w:rPr>
      </w:pPr>
      <w:r>
        <w:rPr>
          <w:rFonts w:hint="eastAsia" w:ascii="方正小标宋" w:hAnsi="仿宋" w:eastAsia="方正小标宋"/>
          <w:color w:val="000000"/>
          <w:sz w:val="44"/>
          <w:szCs w:val="44"/>
          <w:lang w:eastAsia="zh-CN"/>
        </w:rPr>
        <w:t>——第三届全国信息通信行业职业技能竞赛</w:t>
      </w:r>
    </w:p>
    <w:p w14:paraId="3D64DDB4">
      <w:pPr>
        <w:jc w:val="center"/>
        <w:rPr>
          <w:rFonts w:ascii="方正小标宋" w:hAnsi="仿宋" w:eastAsia="方正小标宋"/>
          <w:sz w:val="44"/>
          <w:szCs w:val="44"/>
          <w:lang w:eastAsia="zh-CN"/>
        </w:rPr>
      </w:pPr>
      <w:r>
        <w:rPr>
          <w:rFonts w:hint="eastAsia" w:ascii="方正小标宋" w:hAnsi="仿宋" w:eastAsia="方正小标宋"/>
          <w:color w:val="000000"/>
          <w:sz w:val="44"/>
          <w:szCs w:val="44"/>
          <w:lang w:eastAsia="zh-CN"/>
        </w:rPr>
        <w:t>安徽省选拔赛</w:t>
      </w:r>
    </w:p>
    <w:p w14:paraId="619A139C">
      <w:pPr>
        <w:rPr>
          <w:lang w:eastAsia="zh-CN"/>
        </w:rPr>
      </w:pPr>
    </w:p>
    <w:p w14:paraId="6EEF43FA">
      <w:pPr>
        <w:rPr>
          <w:lang w:eastAsia="zh-CN"/>
        </w:rPr>
      </w:pPr>
    </w:p>
    <w:p w14:paraId="6C0FB4C5">
      <w:pPr>
        <w:rPr>
          <w:lang w:eastAsia="zh-CN"/>
        </w:rPr>
      </w:pPr>
    </w:p>
    <w:p w14:paraId="3196D996">
      <w:pPr>
        <w:rPr>
          <w:lang w:eastAsia="zh-CN"/>
        </w:rPr>
      </w:pPr>
    </w:p>
    <w:p w14:paraId="03261840">
      <w:pPr>
        <w:rPr>
          <w:lang w:eastAsia="zh-CN"/>
        </w:rPr>
      </w:pPr>
    </w:p>
    <w:p w14:paraId="677D1109">
      <w:pPr>
        <w:jc w:val="center"/>
        <w:rPr>
          <w:lang w:eastAsia="zh-CN"/>
        </w:rPr>
      </w:pPr>
      <w:r>
        <w:rPr>
          <w:rFonts w:ascii="黑体" w:hAnsi="黑体" w:eastAsia="黑体"/>
          <w:b/>
          <w:color w:val="000000"/>
          <w:sz w:val="48"/>
          <w:lang w:eastAsia="zh-CN"/>
        </w:rPr>
        <w:t>通信网络管理员赛项</w:t>
      </w:r>
    </w:p>
    <w:p w14:paraId="4403728B">
      <w:pPr>
        <w:jc w:val="center"/>
        <w:rPr>
          <w:lang w:eastAsia="zh-CN"/>
        </w:rPr>
      </w:pPr>
      <w:r>
        <w:rPr>
          <w:rFonts w:ascii="黑体" w:hAnsi="黑体" w:eastAsia="黑体"/>
          <w:b/>
          <w:color w:val="000000"/>
          <w:sz w:val="36"/>
          <w:lang w:eastAsia="zh-CN"/>
        </w:rPr>
        <w:t>技术文件</w:t>
      </w:r>
    </w:p>
    <w:p w14:paraId="534E1B08">
      <w:pPr>
        <w:rPr>
          <w:lang w:eastAsia="zh-CN"/>
        </w:rPr>
      </w:pPr>
    </w:p>
    <w:p w14:paraId="766FE841">
      <w:pPr>
        <w:rPr>
          <w:lang w:eastAsia="zh-CN"/>
        </w:rPr>
      </w:pPr>
      <w:bookmarkStart w:id="0" w:name="_GoBack"/>
      <w:bookmarkEnd w:id="0"/>
    </w:p>
    <w:p w14:paraId="3E2E0A76">
      <w:pPr>
        <w:rPr>
          <w:lang w:eastAsia="zh-CN"/>
        </w:rPr>
      </w:pPr>
    </w:p>
    <w:p w14:paraId="07542CA8">
      <w:pPr>
        <w:rPr>
          <w:lang w:eastAsia="zh-CN"/>
        </w:rPr>
      </w:pPr>
    </w:p>
    <w:p w14:paraId="4341F010">
      <w:pPr>
        <w:rPr>
          <w:lang w:eastAsia="zh-CN"/>
        </w:rPr>
      </w:pPr>
    </w:p>
    <w:p w14:paraId="53A37725">
      <w:pPr>
        <w:rPr>
          <w:lang w:eastAsia="zh-CN"/>
        </w:rPr>
      </w:pPr>
    </w:p>
    <w:p w14:paraId="411E9E68">
      <w:pPr>
        <w:jc w:val="center"/>
        <w:rPr>
          <w:lang w:eastAsia="zh-CN"/>
        </w:rPr>
      </w:pPr>
      <w:r>
        <w:rPr>
          <w:rFonts w:ascii="宋体" w:hAnsi="宋体" w:eastAsia="宋体"/>
          <w:color w:val="000000"/>
          <w:sz w:val="28"/>
          <w:lang w:eastAsia="zh-CN"/>
        </w:rPr>
        <w:t>二〇二六年九月</w:t>
      </w:r>
    </w:p>
    <w:p w14:paraId="4EAFDF10">
      <w:pPr>
        <w:spacing w:after="0" w:line="240" w:lineRule="auto"/>
        <w:jc w:val="center"/>
        <w:rPr>
          <w:lang w:eastAsia="zh-CN"/>
        </w:rPr>
      </w:pPr>
    </w:p>
    <w:p w14:paraId="4C0D3623">
      <w:pPr>
        <w:rPr>
          <w:lang w:eastAsia="zh-CN"/>
        </w:rPr>
      </w:pPr>
    </w:p>
    <w:p w14:paraId="31E2C7F0">
      <w:pPr>
        <w:jc w:val="center"/>
        <w:rPr>
          <w:rFonts w:hint="eastAsia" w:ascii="仿宋_GB2312" w:hAnsi="仿宋_GB2312" w:eastAsia="仿宋_GB2312" w:cs="仿宋_GB2312"/>
          <w:b/>
          <w:bCs/>
          <w:sz w:val="32"/>
          <w:szCs w:val="32"/>
          <w:lang w:eastAsia="zh-CN"/>
        </w:rPr>
        <w:sectPr>
          <w:headerReference r:id="rId7" w:type="first"/>
          <w:footerReference r:id="rId10" w:type="first"/>
          <w:headerReference r:id="rId5" w:type="default"/>
          <w:footerReference r:id="rId8" w:type="default"/>
          <w:headerReference r:id="rId6" w:type="even"/>
          <w:footerReference r:id="rId9" w:type="even"/>
          <w:pgSz w:w="12240" w:h="15840"/>
          <w:pgMar w:top="1440" w:right="1797" w:bottom="1440" w:left="1797" w:header="720" w:footer="720" w:gutter="0"/>
          <w:pgNumType w:start="1"/>
          <w:cols w:space="720" w:num="1"/>
          <w:docGrid w:linePitch="360" w:charSpace="0"/>
        </w:sectPr>
      </w:pPr>
    </w:p>
    <w:p w14:paraId="641D1941">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目录</w:t>
      </w:r>
    </w:p>
    <w:p w14:paraId="4B5EAF00">
      <w:pPr>
        <w:pStyle w:val="26"/>
        <w:tabs>
          <w:tab w:val="right" w:leader="dot" w:pos="8845"/>
        </w:tabs>
        <w:ind w:firstLine="602"/>
        <w:outlineLvl w:val="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TOC \o "1-2" \h \u </w:instrText>
      </w:r>
      <w:r>
        <w:rPr>
          <w:rFonts w:hint="eastAsia" w:ascii="仿宋_GB2312" w:hAnsi="仿宋_GB2312" w:eastAsia="仿宋_GB2312" w:cs="仿宋_GB2312"/>
          <w:b/>
          <w:bCs/>
          <w:sz w:val="32"/>
          <w:szCs w:val="32"/>
        </w:rPr>
        <w:fldChar w:fldCharType="separate"/>
      </w:r>
      <w:r>
        <w:fldChar w:fldCharType="begin"/>
      </w:r>
      <w:r>
        <w:instrText xml:space="preserve"> HYPERLINK \l "_Toc27697" </w:instrText>
      </w:r>
      <w:r>
        <w:fldChar w:fldCharType="separate"/>
      </w:r>
      <w:r>
        <w:rPr>
          <w:rFonts w:hint="eastAsia" w:ascii="仿宋_GB2312" w:hAnsi="仿宋_GB2312" w:eastAsia="仿宋_GB2312" w:cs="仿宋_GB2312"/>
          <w:sz w:val="32"/>
          <w:szCs w:val="32"/>
        </w:rPr>
        <w:t>一、 竞赛职业和等级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p w14:paraId="0A6C6B6B">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"_Toc27334" </w:instrText>
      </w:r>
      <w:r>
        <w:fldChar w:fldCharType="separate"/>
      </w:r>
      <w:r>
        <w:rPr>
          <w:rFonts w:hint="eastAsia" w:ascii="仿宋_GB2312" w:hAnsi="仿宋_GB2312" w:eastAsia="仿宋_GB2312" w:cs="仿宋_GB2312"/>
          <w:sz w:val="32"/>
          <w:szCs w:val="32"/>
        </w:rPr>
        <w:t>二、 技术描述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p w14:paraId="7C61A83B">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"_Toc6376" </w:instrText>
      </w:r>
      <w:r>
        <w:fldChar w:fldCharType="separate"/>
      </w:r>
      <w:r>
        <w:rPr>
          <w:rFonts w:hint="eastAsia" w:ascii="仿宋_GB2312" w:hAnsi="仿宋_GB2312" w:eastAsia="仿宋_GB2312" w:cs="仿宋_GB2312"/>
          <w:sz w:val="32"/>
          <w:szCs w:val="32"/>
        </w:rPr>
        <w:t>（一）项目概要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p w14:paraId="497FE0C2">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"_Toc23058" </w:instrText>
      </w:r>
      <w:r>
        <w:fldChar w:fldCharType="separate"/>
      </w:r>
      <w:r>
        <w:rPr>
          <w:rFonts w:hint="eastAsia" w:ascii="仿宋_GB2312" w:hAnsi="仿宋_GB2312" w:eastAsia="仿宋_GB2312" w:cs="仿宋_GB2312"/>
          <w:sz w:val="32"/>
          <w:szCs w:val="32"/>
        </w:rPr>
        <w:t>（二）基本知识与能力要求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49DE6019">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"_Toc6233" </w:instrText>
      </w:r>
      <w:r>
        <w:fldChar w:fldCharType="separate"/>
      </w:r>
      <w:r>
        <w:rPr>
          <w:rFonts w:hint="eastAsia" w:ascii="仿宋_GB2312" w:hAnsi="仿宋_GB2312" w:eastAsia="仿宋_GB2312" w:cs="仿宋_GB2312"/>
          <w:sz w:val="32"/>
          <w:szCs w:val="32"/>
        </w:rPr>
        <w:t>三、 竞赛形式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73196EF4">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"_Toc27365" </w:instrText>
      </w:r>
      <w:r>
        <w:fldChar w:fldCharType="separate"/>
      </w:r>
      <w:r>
        <w:rPr>
          <w:rFonts w:hint="eastAsia" w:ascii="仿宋_GB2312" w:hAnsi="仿宋_GB2312" w:eastAsia="仿宋_GB2312" w:cs="仿宋_GB2312"/>
          <w:sz w:val="32"/>
          <w:szCs w:val="32"/>
        </w:rPr>
        <w:t>（一）竞赛形式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31C2789C">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"_Toc21261" </w:instrText>
      </w:r>
      <w:r>
        <w:fldChar w:fldCharType="separate"/>
      </w:r>
      <w:r>
        <w:rPr>
          <w:rFonts w:hint="eastAsia" w:ascii="仿宋_GB2312" w:hAnsi="仿宋_GB2312" w:eastAsia="仿宋_GB2312" w:cs="仿宋_GB2312"/>
          <w:sz w:val="32"/>
          <w:szCs w:val="32"/>
        </w:rPr>
        <w:t>（二）竞赛命题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0C99B6CA">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"_Toc9056" </w:instrText>
      </w:r>
      <w:r>
        <w:fldChar w:fldCharType="separate"/>
      </w:r>
      <w:r>
        <w:rPr>
          <w:rFonts w:hint="eastAsia" w:ascii="仿宋_GB2312" w:hAnsi="仿宋_GB2312" w:eastAsia="仿宋_GB2312" w:cs="仿宋_GB2312"/>
          <w:sz w:val="32"/>
          <w:szCs w:val="32"/>
        </w:rPr>
        <w:t>四、 试题与评判标准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00062D1E">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"_Toc24438" </w:instrText>
      </w:r>
      <w:r>
        <w:fldChar w:fldCharType="separate"/>
      </w:r>
      <w:r>
        <w:rPr>
          <w:rFonts w:hint="eastAsia" w:ascii="仿宋_GB2312" w:hAnsi="仿宋_GB2312" w:eastAsia="仿宋_GB2312" w:cs="仿宋_GB2312"/>
          <w:sz w:val="32"/>
          <w:szCs w:val="32"/>
        </w:rPr>
        <w:t>（一）理论知识</w:t>
      </w:r>
      <w:r>
        <w:rPr>
          <w:rFonts w:hint="eastAsia" w:ascii="仿宋_GB2312" w:hAnsi="仿宋_GB2312" w:eastAsia="仿宋_GB2312" w:cs="仿宋_GB2312"/>
          <w:sz w:val="32"/>
          <w:szCs w:val="32"/>
          <w:lang w:eastAsia="zh-CN"/>
        </w:rPr>
        <w:t>考核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fldChar w:fldCharType="end"/>
      </w:r>
    </w:p>
    <w:p w14:paraId="07FD8130">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"_Toc3511" </w:instrText>
      </w:r>
      <w:r>
        <w:fldChar w:fldCharType="separate"/>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实操考核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fldChar w:fldCharType="end"/>
      </w:r>
    </w:p>
    <w:p w14:paraId="2351C523">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"_Toc24153" </w:instrText>
      </w:r>
      <w:r>
        <w:fldChar w:fldCharType="separate"/>
      </w:r>
      <w:r>
        <w:rPr>
          <w:rFonts w:hint="eastAsia" w:ascii="仿宋_GB2312" w:hAnsi="仿宋_GB2312" w:eastAsia="仿宋_GB2312" w:cs="仿宋_GB2312"/>
          <w:sz w:val="32"/>
          <w:szCs w:val="32"/>
        </w:rPr>
        <w:t>（三）竞赛时间及试题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fldChar w:fldCharType="end"/>
      </w:r>
    </w:p>
    <w:p w14:paraId="1304A7C7">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"_Toc4470" </w:instrText>
      </w:r>
      <w:r>
        <w:fldChar w:fldCharType="separate"/>
      </w:r>
      <w:r>
        <w:rPr>
          <w:rFonts w:hint="eastAsia" w:ascii="仿宋_GB2312" w:hAnsi="仿宋_GB2312" w:eastAsia="仿宋_GB2312" w:cs="仿宋_GB2312"/>
          <w:sz w:val="32"/>
          <w:szCs w:val="32"/>
        </w:rPr>
        <w:t>（四）评判标准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fldChar w:fldCharType="end"/>
      </w:r>
    </w:p>
    <w:p w14:paraId="34A53950">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"_Toc9092" </w:instrText>
      </w:r>
      <w:r>
        <w:fldChar w:fldCharType="separate"/>
      </w:r>
      <w:r>
        <w:rPr>
          <w:rFonts w:hint="eastAsia" w:ascii="仿宋_GB2312" w:hAnsi="仿宋_GB2312" w:eastAsia="仿宋_GB2312" w:cs="仿宋_GB2312"/>
          <w:sz w:val="32"/>
          <w:szCs w:val="32"/>
        </w:rPr>
        <w:t>五、 评分流程及考核细则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lang w:eastAsia="zh-CN"/>
        </w:rPr>
        <w:fldChar w:fldCharType="end"/>
      </w:r>
    </w:p>
    <w:p w14:paraId="4194787F">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"_Toc23517" </w:instrText>
      </w:r>
      <w:r>
        <w:fldChar w:fldCharType="separate"/>
      </w:r>
      <w:r>
        <w:rPr>
          <w:rFonts w:hint="eastAsia" w:ascii="仿宋_GB2312" w:hAnsi="仿宋_GB2312" w:eastAsia="仿宋_GB2312" w:cs="仿宋_GB2312"/>
          <w:sz w:val="32"/>
          <w:szCs w:val="32"/>
        </w:rPr>
        <w:t>六、 申诉与仲裁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lang w:eastAsia="zh-CN"/>
        </w:rPr>
        <w:fldChar w:fldCharType="end"/>
      </w:r>
    </w:p>
    <w:p w14:paraId="77DF7015">
      <w:pPr>
        <w:pStyle w:val="26"/>
        <w:tabs>
          <w:tab w:val="right" w:leader="dot" w:pos="8845"/>
        </w:tabs>
        <w:ind w:firstLine="640"/>
        <w:outlineLvl w:val="0"/>
        <w:rPr>
          <w:rFonts w:hint="eastAsia" w:ascii="仿宋_GB2312" w:hAnsi="仿宋_GB2312" w:eastAsia="仿宋_GB2312" w:cs="仿宋_GB2312"/>
          <w:sz w:val="32"/>
          <w:szCs w:val="32"/>
        </w:rPr>
      </w:pPr>
      <w:r>
        <w:fldChar w:fldCharType="begin"/>
      </w:r>
      <w:r>
        <w:instrText xml:space="preserve"> HYPERLINK \l "_Toc21818" </w:instrText>
      </w:r>
      <w:r>
        <w:fldChar w:fldCharType="separate"/>
      </w:r>
      <w:r>
        <w:rPr>
          <w:rFonts w:hint="eastAsia" w:ascii="仿宋_GB2312" w:hAnsi="仿宋_GB2312" w:eastAsia="仿宋_GB2312" w:cs="仿宋_GB2312"/>
          <w:sz w:val="32"/>
          <w:szCs w:val="32"/>
        </w:rPr>
        <w:t>七、 竞赛场地、设施设备安排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fldChar w:fldCharType="end"/>
      </w:r>
    </w:p>
    <w:p w14:paraId="51DBCE90">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"_Toc30748" </w:instrText>
      </w:r>
      <w:r>
        <w:fldChar w:fldCharType="separate"/>
      </w:r>
      <w:r>
        <w:rPr>
          <w:rFonts w:hint="eastAsia" w:ascii="仿宋_GB2312" w:hAnsi="仿宋_GB2312" w:eastAsia="仿宋_GB2312" w:cs="仿宋_GB2312"/>
          <w:sz w:val="32"/>
          <w:szCs w:val="32"/>
        </w:rPr>
        <w:t>（一）赛场规格要求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fldChar w:fldCharType="end"/>
      </w:r>
    </w:p>
    <w:p w14:paraId="78904ABE">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"_Toc16379" </w:instrText>
      </w:r>
      <w:r>
        <w:fldChar w:fldCharType="separate"/>
      </w:r>
      <w:r>
        <w:rPr>
          <w:rFonts w:hint="eastAsia" w:ascii="仿宋_GB2312" w:hAnsi="仿宋_GB2312" w:eastAsia="仿宋_GB2312" w:cs="仿宋_GB2312"/>
          <w:sz w:val="32"/>
          <w:szCs w:val="32"/>
        </w:rPr>
        <w:t>（二）场地布局图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fldChar w:fldCharType="end"/>
      </w:r>
    </w:p>
    <w:p w14:paraId="52905275">
      <w:pPr>
        <w:pStyle w:val="29"/>
        <w:tabs>
          <w:tab w:val="right" w:leader="dot" w:pos="8845"/>
        </w:tabs>
        <w:ind w:left="440" w:firstLine="640"/>
        <w:outlineLvl w:val="1"/>
        <w:rPr>
          <w:rFonts w:hint="eastAsia" w:ascii="仿宋_GB2312" w:hAnsi="仿宋_GB2312" w:eastAsia="仿宋_GB2312" w:cs="仿宋_GB2312"/>
          <w:sz w:val="32"/>
          <w:szCs w:val="32"/>
        </w:rPr>
      </w:pPr>
      <w:r>
        <w:fldChar w:fldCharType="begin"/>
      </w:r>
      <w:r>
        <w:instrText xml:space="preserve"> HYPERLINK \l "_Toc32378" </w:instrText>
      </w:r>
      <w:r>
        <w:fldChar w:fldCharType="separate"/>
      </w:r>
      <w:r>
        <w:rPr>
          <w:rFonts w:hint="eastAsia" w:ascii="仿宋_GB2312" w:hAnsi="仿宋_GB2312" w:eastAsia="仿宋_GB2312" w:cs="仿宋_GB2312"/>
          <w:sz w:val="32"/>
          <w:szCs w:val="32"/>
        </w:rPr>
        <w:t>（三）基础设施清单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6</w:t>
      </w:r>
      <w:r>
        <w:rPr>
          <w:rFonts w:hint="eastAsia" w:ascii="仿宋_GB2312" w:hAnsi="仿宋_GB2312" w:eastAsia="仿宋_GB2312" w:cs="仿宋_GB2312"/>
          <w:sz w:val="32"/>
          <w:szCs w:val="32"/>
          <w:lang w:eastAsia="zh-CN"/>
        </w:rPr>
        <w:fldChar w:fldCharType="end"/>
      </w:r>
    </w:p>
    <w:p w14:paraId="05B84107">
      <w:pPr>
        <w:pStyle w:val="26"/>
        <w:tabs>
          <w:tab w:val="right" w:leader="dot" w:pos="8845"/>
        </w:tabs>
        <w:ind w:firstLine="640"/>
        <w:outlineLvl w:val="0"/>
        <w:rPr>
          <w:rFonts w:hint="eastAsia" w:ascii="仿宋_GB2312" w:hAnsi="仿宋_GB2312" w:eastAsia="仿宋_GB2312" w:cs="仿宋_GB2312"/>
          <w:sz w:val="32"/>
          <w:szCs w:val="32"/>
        </w:rPr>
        <w:sectPr>
          <w:footerReference r:id="rId11" w:type="default"/>
          <w:pgSz w:w="12240" w:h="15840"/>
          <w:pgMar w:top="1440" w:right="1797" w:bottom="1440" w:left="1797" w:header="720" w:footer="720" w:gutter="0"/>
          <w:pgNumType w:start="1"/>
          <w:cols w:space="720" w:num="1"/>
          <w:docGrid w:linePitch="360" w:charSpace="0"/>
        </w:sectPr>
      </w:pPr>
    </w:p>
    <w:p w14:paraId="08A359F3">
      <w:pPr>
        <w:pStyle w:val="26"/>
        <w:tabs>
          <w:tab w:val="right" w:leader="dot" w:pos="8845"/>
        </w:tabs>
        <w:ind w:firstLine="640"/>
        <w:outlineLvl w:val="0"/>
        <w:rPr>
          <w:rFonts w:hint="eastAsia" w:ascii="仿宋_GB2312" w:hAnsi="仿宋_GB2312" w:eastAsia="仿宋_GB2312" w:cs="仿宋_GB2312"/>
          <w:sz w:val="32"/>
          <w:szCs w:val="32"/>
          <w:lang w:eastAsia="zh-CN"/>
        </w:rPr>
      </w:pPr>
      <w:r>
        <w:fldChar w:fldCharType="begin"/>
      </w:r>
      <w:r>
        <w:instrText xml:space="preserve"> HYPERLINK \l "_Toc18837" </w:instrText>
      </w:r>
      <w:r>
        <w:fldChar w:fldCharType="separate"/>
      </w:r>
      <w:r>
        <w:rPr>
          <w:rFonts w:hint="eastAsia" w:ascii="仿宋_GB2312" w:hAnsi="仿宋_GB2312" w:eastAsia="仿宋_GB2312" w:cs="仿宋_GB2312"/>
          <w:sz w:val="32"/>
          <w:szCs w:val="32"/>
        </w:rPr>
        <w:t>八、 工具材料安排及清单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9</w:t>
      </w:r>
      <w:r>
        <w:rPr>
          <w:rFonts w:hint="eastAsia" w:ascii="仿宋_GB2312" w:hAnsi="仿宋_GB2312" w:eastAsia="仿宋_GB2312" w:cs="仿宋_GB2312"/>
          <w:sz w:val="32"/>
          <w:szCs w:val="32"/>
          <w:lang w:eastAsia="zh-CN"/>
        </w:rPr>
        <w:fldChar w:fldCharType="end"/>
      </w:r>
    </w:p>
    <w:p w14:paraId="7DBE7FCA">
      <w:pPr>
        <w:pStyle w:val="26"/>
        <w:tabs>
          <w:tab w:val="right" w:leader="dot" w:pos="8845"/>
        </w:tabs>
        <w:ind w:firstLine="640"/>
        <w:outlineLvl w:val="0"/>
        <w:rPr>
          <w:rFonts w:hint="eastAsia" w:ascii="仿宋_GB2312" w:hAnsi="仿宋_GB2312" w:eastAsia="仿宋_GB2312" w:cs="仿宋_GB2312"/>
          <w:sz w:val="32"/>
          <w:szCs w:val="32"/>
          <w:lang w:eastAsia="zh-CN"/>
        </w:rPr>
      </w:pPr>
      <w:r>
        <w:fldChar w:fldCharType="begin"/>
      </w:r>
      <w:r>
        <w:instrText xml:space="preserve"> HYPERLINK \l "_Toc14765" </w:instrText>
      </w:r>
      <w:r>
        <w:fldChar w:fldCharType="separate"/>
      </w:r>
      <w:r>
        <w:rPr>
          <w:rFonts w:hint="eastAsia" w:ascii="仿宋_GB2312" w:hAnsi="仿宋_GB2312" w:eastAsia="仿宋_GB2312" w:cs="仿宋_GB2312"/>
          <w:sz w:val="32"/>
          <w:szCs w:val="32"/>
        </w:rPr>
        <w:t>九、 项目特殊说明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9</w:t>
      </w:r>
      <w:r>
        <w:rPr>
          <w:rFonts w:hint="eastAsia" w:ascii="仿宋_GB2312" w:hAnsi="仿宋_GB2312" w:eastAsia="仿宋_GB2312" w:cs="仿宋_GB2312"/>
          <w:sz w:val="32"/>
          <w:szCs w:val="32"/>
          <w:lang w:eastAsia="zh-CN"/>
        </w:rPr>
        <w:fldChar w:fldCharType="end"/>
      </w:r>
    </w:p>
    <w:p w14:paraId="10395149">
      <w:pPr>
        <w:pStyle w:val="29"/>
        <w:tabs>
          <w:tab w:val="right" w:leader="dot" w:pos="8845"/>
        </w:tabs>
        <w:ind w:left="440" w:firstLine="640"/>
        <w:outlineLvl w:val="1"/>
        <w:rPr>
          <w:rFonts w:hint="eastAsia" w:ascii="仿宋_GB2312" w:hAnsi="仿宋_GB2312" w:eastAsia="仿宋_GB2312" w:cs="仿宋_GB2312"/>
          <w:sz w:val="32"/>
          <w:szCs w:val="32"/>
          <w:lang w:eastAsia="zh-CN"/>
        </w:rPr>
      </w:pPr>
      <w:r>
        <w:fldChar w:fldCharType="begin"/>
      </w:r>
      <w:r>
        <w:instrText xml:space="preserve"> HYPERLINK \l "_Toc1434" </w:instrText>
      </w:r>
      <w:r>
        <w:fldChar w:fldCharType="separate"/>
      </w:r>
      <w:r>
        <w:rPr>
          <w:rFonts w:hint="eastAsia" w:ascii="仿宋_GB2312" w:hAnsi="仿宋_GB2312" w:eastAsia="仿宋_GB2312" w:cs="仿宋_GB2312"/>
          <w:sz w:val="32"/>
          <w:szCs w:val="32"/>
        </w:rPr>
        <w:t>（一）赛场纪律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9</w:t>
      </w:r>
      <w:r>
        <w:rPr>
          <w:rFonts w:hint="eastAsia" w:ascii="仿宋_GB2312" w:hAnsi="仿宋_GB2312" w:eastAsia="仿宋_GB2312" w:cs="仿宋_GB2312"/>
          <w:sz w:val="32"/>
          <w:szCs w:val="32"/>
          <w:lang w:eastAsia="zh-CN"/>
        </w:rPr>
        <w:fldChar w:fldCharType="end"/>
      </w:r>
    </w:p>
    <w:p w14:paraId="01F01C63">
      <w:pPr>
        <w:pStyle w:val="29"/>
        <w:tabs>
          <w:tab w:val="right" w:leader="dot" w:pos="8845"/>
        </w:tabs>
        <w:ind w:left="440" w:firstLine="640"/>
        <w:outlineLvl w:val="1"/>
        <w:rPr>
          <w:rFonts w:hint="eastAsia" w:ascii="仿宋_GB2312" w:hAnsi="仿宋_GB2312" w:eastAsia="仿宋_GB2312" w:cs="仿宋_GB2312"/>
          <w:sz w:val="32"/>
          <w:szCs w:val="32"/>
          <w:lang w:eastAsia="zh-CN"/>
        </w:rPr>
      </w:pPr>
      <w:r>
        <w:fldChar w:fldCharType="begin"/>
      </w:r>
      <w:r>
        <w:instrText xml:space="preserve"> HYPERLINK \l "_Toc23528" </w:instrText>
      </w:r>
      <w:r>
        <w:fldChar w:fldCharType="separate"/>
      </w:r>
      <w:r>
        <w:rPr>
          <w:rFonts w:hint="eastAsia" w:ascii="仿宋_GB2312" w:hAnsi="仿宋_GB2312" w:eastAsia="仿宋_GB2312" w:cs="仿宋_GB2312"/>
          <w:sz w:val="32"/>
          <w:szCs w:val="32"/>
          <w:lang w:eastAsia="zh-CN"/>
        </w:rPr>
        <w:t>（二）异常情况处理说明</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0</w:t>
      </w:r>
    </w:p>
    <w:p w14:paraId="737DC4A6">
      <w:pPr>
        <w:pStyle w:val="26"/>
        <w:tabs>
          <w:tab w:val="right" w:leader="dot" w:pos="8845"/>
        </w:tabs>
        <w:ind w:firstLine="440" w:firstLineChars="200"/>
        <w:outlineLvl w:val="0"/>
        <w:rPr>
          <w:rFonts w:hint="eastAsia" w:ascii="仿宋_GB2312" w:hAnsi="仿宋_GB2312" w:eastAsia="仿宋_GB2312" w:cs="仿宋_GB2312"/>
          <w:sz w:val="32"/>
          <w:szCs w:val="32"/>
          <w:lang w:eastAsia="zh-CN"/>
        </w:rPr>
      </w:pPr>
      <w:r>
        <w:fldChar w:fldCharType="begin"/>
      </w:r>
      <w:r>
        <w:instrText xml:space="preserve"> HYPERLINK \l "_Toc16048" </w:instrText>
      </w:r>
      <w:r>
        <w:fldChar w:fldCharType="separate"/>
      </w:r>
      <w:r>
        <w:rPr>
          <w:rFonts w:hint="eastAsia" w:ascii="仿宋_GB2312" w:hAnsi="仿宋_GB2312" w:eastAsia="仿宋_GB2312" w:cs="仿宋_GB2312"/>
          <w:sz w:val="32"/>
          <w:szCs w:val="32"/>
          <w:lang w:eastAsia="zh-CN"/>
        </w:rPr>
        <w:t>十、 安全办赛要求</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1</w:t>
      </w:r>
    </w:p>
    <w:p w14:paraId="3AEE0779">
      <w:pPr>
        <w:pStyle w:val="29"/>
        <w:tabs>
          <w:tab w:val="right" w:leader="dot" w:pos="8845"/>
        </w:tabs>
        <w:ind w:left="440" w:firstLine="640"/>
        <w:outlineLvl w:val="1"/>
        <w:rPr>
          <w:rFonts w:hint="eastAsia" w:ascii="仿宋_GB2312" w:hAnsi="仿宋_GB2312" w:eastAsia="仿宋_GB2312" w:cs="仿宋_GB2312"/>
          <w:sz w:val="32"/>
          <w:szCs w:val="32"/>
          <w:lang w:eastAsia="zh-CN"/>
        </w:rPr>
      </w:pPr>
      <w:r>
        <w:fldChar w:fldCharType="begin"/>
      </w:r>
      <w:r>
        <w:instrText xml:space="preserve"> HYPERLINK \l "_Toc26990" </w:instrText>
      </w:r>
      <w:r>
        <w:fldChar w:fldCharType="separate"/>
      </w:r>
      <w:r>
        <w:rPr>
          <w:rFonts w:hint="eastAsia" w:ascii="仿宋_GB2312" w:hAnsi="仿宋_GB2312" w:eastAsia="仿宋_GB2312" w:cs="仿宋_GB2312"/>
          <w:sz w:val="32"/>
          <w:szCs w:val="32"/>
          <w:lang w:eastAsia="zh-CN"/>
        </w:rPr>
        <w:t>（一）选手安全防护要求</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1</w:t>
      </w:r>
    </w:p>
    <w:p w14:paraId="58A17E67">
      <w:pPr>
        <w:pStyle w:val="29"/>
        <w:tabs>
          <w:tab w:val="right" w:leader="dot" w:pos="8845"/>
        </w:tabs>
        <w:ind w:left="440" w:firstLine="640"/>
        <w:outlineLvl w:val="1"/>
        <w:rPr>
          <w:rFonts w:hint="eastAsia" w:ascii="仿宋_GB2312" w:hAnsi="仿宋_GB2312" w:eastAsia="仿宋_GB2312" w:cs="仿宋_GB2312"/>
          <w:sz w:val="32"/>
          <w:szCs w:val="32"/>
          <w:lang w:eastAsia="zh-CN"/>
        </w:rPr>
      </w:pPr>
      <w:r>
        <w:fldChar w:fldCharType="begin"/>
      </w:r>
      <w:r>
        <w:instrText xml:space="preserve"> HYPERLINK \l "_Toc9059" </w:instrText>
      </w:r>
      <w:r>
        <w:fldChar w:fldCharType="separate"/>
      </w:r>
      <w:r>
        <w:rPr>
          <w:rFonts w:hint="eastAsia" w:ascii="仿宋_GB2312" w:hAnsi="仿宋_GB2312" w:eastAsia="仿宋_GB2312" w:cs="仿宋_GB2312"/>
          <w:sz w:val="32"/>
          <w:szCs w:val="32"/>
          <w:lang w:eastAsia="zh-CN"/>
        </w:rPr>
        <w:t>（二）赛事安全要求</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1</w:t>
      </w:r>
    </w:p>
    <w:p w14:paraId="0E9A2A89">
      <w:pPr>
        <w:rPr>
          <w:rFonts w:hint="eastAsia" w:ascii="仿宋_GB2312" w:hAnsi="仿宋_GB2312" w:eastAsia="仿宋_GB2312" w:cs="仿宋_GB2312"/>
          <w:sz w:val="32"/>
          <w:szCs w:val="32"/>
          <w:lang w:eastAsia="zh-CN"/>
        </w:rPr>
      </w:pPr>
    </w:p>
    <w:p w14:paraId="7D572D2F">
      <w:pPr>
        <w:rPr>
          <w:rFonts w:hint="eastAsia" w:ascii="仿宋_GB2312" w:hAnsi="仿宋_GB2312" w:eastAsia="仿宋_GB2312" w:cs="仿宋_GB2312"/>
          <w:sz w:val="32"/>
          <w:szCs w:val="32"/>
          <w:lang w:eastAsia="zh-CN"/>
        </w:rPr>
      </w:pPr>
    </w:p>
    <w:p w14:paraId="17A757D0">
      <w:pPr>
        <w:rPr>
          <w:rFonts w:hint="eastAsia" w:ascii="仿宋_GB2312" w:hAnsi="仿宋_GB2312" w:eastAsia="仿宋_GB2312" w:cs="仿宋_GB2312"/>
          <w:sz w:val="32"/>
          <w:szCs w:val="32"/>
          <w:lang w:eastAsia="zh-CN"/>
        </w:rPr>
        <w:sectPr>
          <w:footerReference r:id="rId12" w:type="default"/>
          <w:pgSz w:w="12240" w:h="15840"/>
          <w:pgMar w:top="1440" w:right="1797" w:bottom="1440" w:left="1797" w:header="720" w:footer="720" w:gutter="0"/>
          <w:pgNumType w:start="1"/>
          <w:cols w:space="720" w:num="1"/>
          <w:docGrid w:linePitch="360" w:charSpace="0"/>
        </w:sectPr>
      </w:pPr>
    </w:p>
    <w:p w14:paraId="467B2044">
      <w:pPr>
        <w:spacing w:after="0" w:line="540" w:lineRule="exact"/>
        <w:ind w:firstLine="640" w:firstLineChars="200"/>
        <w:rPr>
          <w:sz w:val="32"/>
          <w:szCs w:val="32"/>
          <w:lang w:eastAsia="zh-CN"/>
        </w:rPr>
      </w:pPr>
      <w:r>
        <w:rPr>
          <w:rFonts w:hint="eastAsia" w:ascii="仿宋_GB2312" w:hAnsi="仿宋_GB2312" w:eastAsia="仿宋_GB2312" w:cs="仿宋_GB2312"/>
          <w:bCs/>
          <w:sz w:val="32"/>
          <w:szCs w:val="32"/>
        </w:rPr>
        <w:fldChar w:fldCharType="end"/>
      </w:r>
      <w:r>
        <w:rPr>
          <w:rFonts w:ascii="黑体" w:hAnsi="黑体" w:eastAsia="黑体"/>
          <w:b/>
          <w:color w:val="000000"/>
          <w:sz w:val="32"/>
          <w:szCs w:val="32"/>
          <w:lang w:eastAsia="zh-CN"/>
        </w:rPr>
        <w:t>一、竞赛职业和等级</w:t>
      </w:r>
    </w:p>
    <w:p w14:paraId="7C91AB4A">
      <w:pPr>
        <w:spacing w:after="0" w:line="540" w:lineRule="exact"/>
        <w:ind w:firstLine="640" w:firstLineChars="200"/>
        <w:rPr>
          <w:rFonts w:hint="eastAsia" w:ascii="仿宋" w:hAnsi="仿宋" w:eastAsia="仿宋"/>
          <w:sz w:val="32"/>
          <w:szCs w:val="32"/>
          <w:lang w:eastAsia="zh-CN"/>
        </w:rPr>
      </w:pPr>
      <w:r>
        <w:rPr>
          <w:rFonts w:ascii="仿宋" w:hAnsi="仿宋" w:eastAsia="仿宋"/>
          <w:color w:val="000000"/>
          <w:sz w:val="32"/>
          <w:szCs w:val="32"/>
          <w:lang w:eastAsia="zh-CN"/>
        </w:rPr>
        <w:t>信息通信网络运行管理员（通信网络管理员）。</w:t>
      </w:r>
    </w:p>
    <w:p w14:paraId="7B6526DF">
      <w:pPr>
        <w:spacing w:after="0" w:line="540" w:lineRule="exact"/>
        <w:ind w:firstLine="640" w:firstLineChars="200"/>
        <w:rPr>
          <w:rFonts w:hint="eastAsia" w:ascii="仿宋" w:hAnsi="仿宋" w:eastAsia="仿宋"/>
          <w:sz w:val="32"/>
          <w:szCs w:val="32"/>
          <w:lang w:eastAsia="zh-CN"/>
        </w:rPr>
      </w:pPr>
      <w:r>
        <w:rPr>
          <w:rFonts w:ascii="仿宋" w:hAnsi="仿宋" w:eastAsia="仿宋"/>
          <w:color w:val="000000"/>
          <w:sz w:val="32"/>
          <w:szCs w:val="32"/>
          <w:lang w:eastAsia="zh-CN"/>
        </w:rPr>
        <w:t>本竞赛基于《信息通信网络运行管理员国家职业技能标准（2019年版）》中高级工及以上职业技能等级相应标准，同时结合企业岗位实际需求和相关专业技术发展情况制定考核标准。</w:t>
      </w:r>
    </w:p>
    <w:p w14:paraId="729135EA">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二、技术描述</w:t>
      </w:r>
    </w:p>
    <w:p w14:paraId="47CE4A6B">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（一）项目概要</w:t>
      </w:r>
    </w:p>
    <w:p w14:paraId="5009C0D0">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立足安徽省数字经济发展与新型信息基础设施建设部署，贴合全省5G网络建设、空天地一体化网络发展、行业专网升级的岗位发展需求，为规范信息通信网络运维行业从业标准，提升一线从业人员网络规划、部署开通、运维保障等核心服务能力，补齐全省通信网络运维领域高技能人才缺口，衔接省内职业院校相关专业人才培养标准与行业岗位要求，特组织开展本竞赛项目。</w:t>
      </w:r>
    </w:p>
    <w:p w14:paraId="2136D284">
      <w:pPr>
        <w:spacing w:after="0" w:line="540" w:lineRule="exact"/>
        <w:ind w:firstLine="600" w:firstLineChars="200"/>
        <w:rPr>
          <w:rFonts w:hint="eastAsia" w:ascii="仿宋" w:hAnsi="仿宋" w:eastAsia="仿宋"/>
          <w:color w:val="000000"/>
          <w:sz w:val="32"/>
          <w:szCs w:val="32"/>
          <w:lang w:eastAsia="zh-CN"/>
        </w:rPr>
      </w:pPr>
      <w:r>
        <w:rPr>
          <w:rFonts w:ascii="仿宋" w:hAnsi="仿宋" w:eastAsia="仿宋"/>
          <w:color w:val="000000"/>
          <w:sz w:val="30"/>
          <w:szCs w:val="30"/>
          <w:lang w:eastAsia="zh-CN"/>
        </w:rPr>
        <w:t>本赛项坚持“政府主导、行业指导、企业参与、服务赋能”的原则，聚焦安徽省信息通信网络运维主营业务，立足通信运营商、网络技术服务企业、政企运维服务岗位真实需求，深度对标国家职业技能标准及省内通信行业规范。赛项以提升从业人员岗位服务素养、实操服务能力、标准化运维水平为核心导向，以空天地智联网络规划部署、业</w:t>
      </w:r>
      <w:r>
        <w:rPr>
          <w:rFonts w:ascii="仿宋" w:hAnsi="仿宋" w:eastAsia="仿宋"/>
          <w:color w:val="000000"/>
          <w:sz w:val="32"/>
          <w:szCs w:val="32"/>
          <w:lang w:eastAsia="zh-CN"/>
        </w:rPr>
        <w:t>务开通调试等真实业务场景为考核重点，切实实现以赛促学、以赛促训、以赛促教、以赛促建的发展目标，全面完善安徽省通信网络运维领域高技能人才培养、评价、选拔体系。</w:t>
      </w:r>
    </w:p>
    <w:p w14:paraId="4F36DB75">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（二）基本知识与能力要求</w:t>
      </w:r>
    </w:p>
    <w:p w14:paraId="068DF89D">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本赛项以空天地智联网络规划、部署、开通与运维为核心内容，基于真实通信网络运维工作场景，根据工作任务书完成网络规划设计、设备部署、数据配置、业务调试、场景开通等全流程工作任务。竞赛内容通过理论知识考核、技能实操表现衡量选手对通信网络运行维护相关知识及技术技能的掌握情况。</w:t>
      </w:r>
    </w:p>
    <w:p w14:paraId="0F876219">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三、竞赛形式</w:t>
      </w:r>
    </w:p>
    <w:p w14:paraId="57CB225C">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（一）竞赛形式</w:t>
      </w:r>
    </w:p>
    <w:p w14:paraId="26F215FD">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本次竞赛各组别均为单人赛，分为职工组和学生组。竞赛内容由理论知识考核和实操考核两部分组成，总成绩为100分，其中理论知识考核成绩占20%，实操考核成绩占80%。</w:t>
      </w:r>
    </w:p>
    <w:p w14:paraId="30425A56">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（二）竞赛命题</w:t>
      </w:r>
    </w:p>
    <w:p w14:paraId="7C905D65">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竞赛试题由竞赛组委会组织专家组命制，在竞赛前保密。</w:t>
      </w:r>
    </w:p>
    <w:p w14:paraId="495BE8D2">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四、试题与评判标准</w:t>
      </w:r>
    </w:p>
    <w:p w14:paraId="65FFA750">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（一）理论知识考核</w:t>
      </w:r>
    </w:p>
    <w:p w14:paraId="1BC29EE7">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考核内容：主要包括5G/5G-A无线网络原理、系统架构、信令流程、基站系统、网络建设流程、关键技术、网络规划及网络优化等理论知识。</w:t>
      </w:r>
    </w:p>
    <w:p w14:paraId="1456BA8B">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考核题型：完全由客观题组成，含单选题、判断题和多选题，分值为100分，占总成绩权重20%。</w:t>
      </w:r>
    </w:p>
    <w:p w14:paraId="5E3F29EE">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考核方式：采用计算机软件答题。</w:t>
      </w:r>
    </w:p>
    <w:p w14:paraId="38387B95">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（二）实操考核</w:t>
      </w:r>
    </w:p>
    <w:p w14:paraId="69E9E116">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考核内容：实操考核涵盖空天地智联网络规划、部署开通等端到端网络支撑能力。根据竞赛现场下发的赛题任务书要求，完成包含需求分析、架构设计、网络切片编排、业务开通部署等竞赛内容。安全文明生产在实际操作比赛过程中进行考查，不再单独命题。</w:t>
      </w:r>
    </w:p>
    <w:p w14:paraId="4C6D00A7">
      <w:pPr>
        <w:spacing w:after="0" w:line="540" w:lineRule="exact"/>
        <w:ind w:firstLine="640" w:firstLineChars="200"/>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选手在虚拟仿真系统中根据任务书要求完成指定考核模块工作任务，各考核模块主要知识技能点及参考分值分布如下：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2"/>
        <w:gridCol w:w="4568"/>
        <w:gridCol w:w="1553"/>
      </w:tblGrid>
      <w:tr w14:paraId="5FAC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tcPr>
          <w:p w14:paraId="0CBEE395">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竞赛模块</w:t>
            </w:r>
          </w:p>
        </w:tc>
        <w:tc>
          <w:tcPr>
            <w:tcW w:w="4568" w:type="dxa"/>
          </w:tcPr>
          <w:p w14:paraId="122D8799">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主要知识技能点</w:t>
            </w:r>
          </w:p>
        </w:tc>
        <w:tc>
          <w:tcPr>
            <w:tcW w:w="1553" w:type="dxa"/>
          </w:tcPr>
          <w:p w14:paraId="77B7C275">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参考分值</w:t>
            </w:r>
          </w:p>
        </w:tc>
      </w:tr>
      <w:tr w14:paraId="68AF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restart"/>
            <w:vAlign w:val="center"/>
          </w:tcPr>
          <w:p w14:paraId="65806508">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空天地智联网络部署与开通</w:t>
            </w:r>
          </w:p>
        </w:tc>
        <w:tc>
          <w:tcPr>
            <w:tcW w:w="4568" w:type="dxa"/>
            <w:vAlign w:val="center"/>
          </w:tcPr>
          <w:p w14:paraId="09B0DC65">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空天地智联网络智能场景升级</w:t>
            </w:r>
          </w:p>
        </w:tc>
        <w:tc>
          <w:tcPr>
            <w:tcW w:w="1553" w:type="dxa"/>
            <w:vAlign w:val="center"/>
          </w:tcPr>
          <w:p w14:paraId="6103C52A">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15</w:t>
            </w:r>
          </w:p>
        </w:tc>
      </w:tr>
      <w:tr w14:paraId="24A2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continue"/>
            <w:vAlign w:val="center"/>
          </w:tcPr>
          <w:p w14:paraId="38374B43">
            <w:pPr>
              <w:spacing w:after="0" w:line="540" w:lineRule="exact"/>
              <w:rPr>
                <w:rFonts w:hint="eastAsia" w:ascii="仿宋" w:hAnsi="仿宋" w:eastAsia="仿宋"/>
                <w:color w:val="000000"/>
                <w:sz w:val="32"/>
                <w:szCs w:val="32"/>
                <w:lang w:eastAsia="zh-CN"/>
              </w:rPr>
            </w:pPr>
          </w:p>
        </w:tc>
        <w:tc>
          <w:tcPr>
            <w:tcW w:w="4568" w:type="dxa"/>
            <w:vAlign w:val="center"/>
          </w:tcPr>
          <w:p w14:paraId="3C4F268D">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空天地智联网络规划设计</w:t>
            </w:r>
          </w:p>
        </w:tc>
        <w:tc>
          <w:tcPr>
            <w:tcW w:w="1553" w:type="dxa"/>
            <w:vAlign w:val="center"/>
          </w:tcPr>
          <w:p w14:paraId="4386C790">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25</w:t>
            </w:r>
          </w:p>
        </w:tc>
      </w:tr>
      <w:tr w14:paraId="6DAE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continue"/>
            <w:vAlign w:val="center"/>
          </w:tcPr>
          <w:p w14:paraId="1288F4A0">
            <w:pPr>
              <w:spacing w:after="0" w:line="540" w:lineRule="exact"/>
              <w:rPr>
                <w:rFonts w:hint="eastAsia" w:ascii="仿宋" w:hAnsi="仿宋" w:eastAsia="仿宋"/>
                <w:color w:val="000000"/>
                <w:sz w:val="32"/>
                <w:szCs w:val="32"/>
                <w:lang w:eastAsia="zh-CN"/>
              </w:rPr>
            </w:pPr>
          </w:p>
        </w:tc>
        <w:tc>
          <w:tcPr>
            <w:tcW w:w="4568" w:type="dxa"/>
            <w:vAlign w:val="center"/>
          </w:tcPr>
          <w:p w14:paraId="2B1D64DC">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空天地智联网络设备部署</w:t>
            </w:r>
          </w:p>
        </w:tc>
        <w:tc>
          <w:tcPr>
            <w:tcW w:w="1553" w:type="dxa"/>
            <w:vAlign w:val="center"/>
          </w:tcPr>
          <w:p w14:paraId="21B31162">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10</w:t>
            </w:r>
          </w:p>
        </w:tc>
      </w:tr>
      <w:tr w14:paraId="4F1A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continue"/>
            <w:vAlign w:val="center"/>
          </w:tcPr>
          <w:p w14:paraId="5F0AA7B8">
            <w:pPr>
              <w:spacing w:after="0" w:line="540" w:lineRule="exact"/>
              <w:rPr>
                <w:rFonts w:hint="eastAsia" w:ascii="仿宋" w:hAnsi="仿宋" w:eastAsia="仿宋"/>
                <w:color w:val="000000"/>
                <w:sz w:val="32"/>
                <w:szCs w:val="32"/>
                <w:lang w:eastAsia="zh-CN"/>
              </w:rPr>
            </w:pPr>
          </w:p>
        </w:tc>
        <w:tc>
          <w:tcPr>
            <w:tcW w:w="4568" w:type="dxa"/>
            <w:vAlign w:val="center"/>
          </w:tcPr>
          <w:p w14:paraId="36D11955">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空天地智联网络数据配置</w:t>
            </w:r>
          </w:p>
        </w:tc>
        <w:tc>
          <w:tcPr>
            <w:tcW w:w="1553" w:type="dxa"/>
            <w:vAlign w:val="center"/>
          </w:tcPr>
          <w:p w14:paraId="0EC5A367">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10</w:t>
            </w:r>
          </w:p>
        </w:tc>
      </w:tr>
      <w:tr w14:paraId="3F30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continue"/>
            <w:vAlign w:val="center"/>
          </w:tcPr>
          <w:p w14:paraId="448F4E7B">
            <w:pPr>
              <w:spacing w:after="0" w:line="540" w:lineRule="exact"/>
              <w:rPr>
                <w:rFonts w:hint="eastAsia" w:ascii="仿宋" w:hAnsi="仿宋" w:eastAsia="仿宋"/>
                <w:color w:val="000000"/>
                <w:sz w:val="32"/>
                <w:szCs w:val="32"/>
                <w:lang w:eastAsia="zh-CN"/>
              </w:rPr>
            </w:pPr>
          </w:p>
        </w:tc>
        <w:tc>
          <w:tcPr>
            <w:tcW w:w="4568" w:type="dxa"/>
            <w:vAlign w:val="center"/>
          </w:tcPr>
          <w:p w14:paraId="48C28FB0">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空天地智联网络业务调试</w:t>
            </w:r>
          </w:p>
        </w:tc>
        <w:tc>
          <w:tcPr>
            <w:tcW w:w="1553" w:type="dxa"/>
            <w:vAlign w:val="center"/>
          </w:tcPr>
          <w:p w14:paraId="6B0F25F5">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25</w:t>
            </w:r>
          </w:p>
        </w:tc>
      </w:tr>
      <w:tr w14:paraId="5C7F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2" w:type="dxa"/>
            <w:vMerge w:val="continue"/>
            <w:vAlign w:val="center"/>
          </w:tcPr>
          <w:p w14:paraId="313EFC25">
            <w:pPr>
              <w:spacing w:after="0" w:line="540" w:lineRule="exact"/>
              <w:rPr>
                <w:rFonts w:hint="eastAsia" w:ascii="仿宋" w:hAnsi="仿宋" w:eastAsia="仿宋"/>
                <w:color w:val="000000"/>
                <w:sz w:val="32"/>
                <w:szCs w:val="32"/>
                <w:lang w:eastAsia="zh-CN"/>
              </w:rPr>
            </w:pPr>
          </w:p>
        </w:tc>
        <w:tc>
          <w:tcPr>
            <w:tcW w:w="4568" w:type="dxa"/>
            <w:vAlign w:val="center"/>
          </w:tcPr>
          <w:p w14:paraId="585BF0E8">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空天地智联典型场景开通调试</w:t>
            </w:r>
          </w:p>
        </w:tc>
        <w:tc>
          <w:tcPr>
            <w:tcW w:w="1553" w:type="dxa"/>
            <w:vAlign w:val="center"/>
          </w:tcPr>
          <w:p w14:paraId="5A35C979">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15</w:t>
            </w:r>
          </w:p>
        </w:tc>
      </w:tr>
      <w:tr w14:paraId="0C9B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30" w:type="dxa"/>
            <w:gridSpan w:val="2"/>
            <w:vAlign w:val="center"/>
          </w:tcPr>
          <w:p w14:paraId="1253A0FF">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总计</w:t>
            </w:r>
          </w:p>
        </w:tc>
        <w:tc>
          <w:tcPr>
            <w:tcW w:w="1553" w:type="dxa"/>
            <w:vAlign w:val="center"/>
          </w:tcPr>
          <w:p w14:paraId="2D540DA3">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100</w:t>
            </w:r>
          </w:p>
        </w:tc>
      </w:tr>
    </w:tbl>
    <w:p w14:paraId="53D85781">
      <w:pPr>
        <w:spacing w:after="0" w:line="540" w:lineRule="exact"/>
      </w:pPr>
    </w:p>
    <w:p w14:paraId="2DA1CFB3">
      <w:pPr>
        <w:spacing w:after="0" w:line="540" w:lineRule="exact"/>
        <w:ind w:firstLine="640" w:firstLineChars="200"/>
        <w:rPr>
          <w:rFonts w:hint="eastAsia" w:ascii="楷体" w:hAnsi="楷体" w:eastAsia="楷体"/>
          <w:bCs/>
          <w:sz w:val="32"/>
          <w:szCs w:val="32"/>
        </w:rPr>
      </w:pPr>
      <w:r>
        <w:rPr>
          <w:rFonts w:ascii="楷体" w:hAnsi="楷体" w:eastAsia="楷体"/>
          <w:bCs/>
          <w:color w:val="000000"/>
          <w:sz w:val="32"/>
          <w:szCs w:val="32"/>
        </w:rPr>
        <w:t>（三）竞赛时间及试题</w:t>
      </w:r>
    </w:p>
    <w:p w14:paraId="33A9C5B8">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1. 竞赛时间安排：竞赛总时长为180分钟，理论知识考核60分钟，实操考核120分钟。</w:t>
      </w:r>
    </w:p>
    <w:p w14:paraId="1312E675">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2. 竞赛试题：理论知识考核、实操考核试题均由组委会统一命制，赛前保密。</w:t>
      </w:r>
    </w:p>
    <w:p w14:paraId="571FDC56">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（四）评判标准</w:t>
      </w:r>
    </w:p>
    <w:p w14:paraId="7C54B42B">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1. 分数权重：本赛项总分为100分，理论知识考核成绩占20%，实操考核成绩占80%。最终成绩经复核无误，由裁判长签字确认后公布。</w:t>
      </w:r>
    </w:p>
    <w:p w14:paraId="5890C929">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2. 评判方法：评判由评分裁判进行，评分裁判在裁判长领导下开展分工评判。</w:t>
      </w:r>
    </w:p>
    <w:p w14:paraId="45820755">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3. 成绩并列：选手竞赛总分相同者，按实操考核得分高者优先。</w:t>
      </w:r>
    </w:p>
    <w:p w14:paraId="28600EC3">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五、评分流程及考核细则</w:t>
      </w:r>
    </w:p>
    <w:p w14:paraId="0823223D">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竞赛过程中，评分裁判按照分工，依据评判标准和相关技术要求开展评判工作。本项目主要评判事后结果，比赛结束后及时对选手成果进行评判。由三人以上评审小组对选手成果进行客观测量，评分小组必须对所有选手的同一评分项以统一标准尺度开展一致性评判。</w:t>
      </w:r>
    </w:p>
    <w:p w14:paraId="46E53801">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六、申诉与仲裁</w:t>
      </w:r>
    </w:p>
    <w:p w14:paraId="62A260E4">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赛项设仲裁工作组，比赛过程中若出现有失公正或人员违规等现象，参赛队可在比赛结束后2小时内，向仲裁工作组递交由领队亲手签字的书面申诉报告。报告应对申诉事件的现象、发生时间、涉及人员、申诉依据等进行充分、实事求是的叙述，非书面申诉不予受理。</w:t>
      </w:r>
    </w:p>
    <w:p w14:paraId="0A6C0590">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仲裁工作组接到申诉后2小时内组织复议并及时反馈结果，仲裁委员会的仲裁结果为赛事最终结论。</w:t>
      </w:r>
    </w:p>
    <w:p w14:paraId="6D1E2D04">
      <w:pPr>
        <w:spacing w:after="0" w:line="540" w:lineRule="exact"/>
        <w:ind w:firstLine="640" w:firstLineChars="200"/>
        <w:rPr>
          <w:bCs/>
          <w:sz w:val="32"/>
          <w:szCs w:val="32"/>
          <w:lang w:eastAsia="zh-CN"/>
        </w:rPr>
      </w:pPr>
      <w:r>
        <w:rPr>
          <w:rFonts w:ascii="黑体" w:hAnsi="黑体" w:eastAsia="黑体"/>
          <w:bCs/>
          <w:color w:val="000000"/>
          <w:sz w:val="32"/>
          <w:szCs w:val="32"/>
          <w:lang w:eastAsia="zh-CN"/>
        </w:rPr>
        <w:t>七、竞赛场地、设施设备安排</w:t>
      </w:r>
    </w:p>
    <w:p w14:paraId="39B1EC23">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（一）赛场规格要求</w:t>
      </w:r>
    </w:p>
    <w:p w14:paraId="79BCD3F4">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1. 竞赛在室内进行，现场设置场内竞赛区、现场裁判工作区、技术支持区、监督仲裁区、场外互动区等功能区域。</w:t>
      </w:r>
    </w:p>
    <w:p w14:paraId="5C1C1E4A">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2. 技术支持人员在技术支持服务区候场，需现场支持时由裁判带领进入对应工位，条件具备时技术支持区可设置在考场外。</w:t>
      </w:r>
    </w:p>
    <w:p w14:paraId="3DC2F764">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3. 各参赛工位之间互不干扰，每个工位配备1套桌椅、1台竞赛用计算机。</w:t>
      </w:r>
    </w:p>
    <w:p w14:paraId="7B99907D">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4. 赛场提供稳定供电及应急供电设备，每个工位提供独立220V交流电源、1条上网网线；各工位分区供电，强电弱电分开布线，现场临时用电符合《施工现场临时用电安全技术规范》JGJ46-2005要求。</w:t>
      </w:r>
    </w:p>
    <w:p w14:paraId="4D491175">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5. 赛场通风良好，照明符合教室采光规范。</w:t>
      </w:r>
    </w:p>
    <w:p w14:paraId="072F8DB3">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6. 赛场符合消防安全规定，消防器材、消防栓合格有效，应急照明设施状态正常；明显位置张贴紧急疏散图，地面张贴荧光疏散指示箭头；出入口专人值守，保障安全通道畅通。</w:t>
      </w:r>
    </w:p>
    <w:p w14:paraId="465BB77C">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（二）场地布局图</w:t>
      </w:r>
    </w:p>
    <w:p w14:paraId="479AF75F">
      <w:pPr>
        <w:spacing w:after="0" w:line="540" w:lineRule="exact"/>
        <w:rPr>
          <w:lang w:eastAsia="zh-CN"/>
        </w:rPr>
      </w:pPr>
      <w:r>
        <w:drawing>
          <wp:anchor distT="0" distB="0" distL="0" distR="0" simplePos="0" relativeHeight="251659264" behindDoc="0" locked="0" layoutInCell="1" allowOverlap="1">
            <wp:simplePos x="0" y="0"/>
            <wp:positionH relativeFrom="column">
              <wp:posOffset>666750</wp:posOffset>
            </wp:positionH>
            <wp:positionV relativeFrom="paragraph">
              <wp:posOffset>171450</wp:posOffset>
            </wp:positionV>
            <wp:extent cx="4537075" cy="4349750"/>
            <wp:effectExtent l="0" t="0" r="9525" b="63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37075" cy="4349750"/>
                    </a:xfrm>
                    <a:prstGeom prst="rect">
                      <a:avLst/>
                    </a:prstGeom>
                    <a:noFill/>
                    <a:ln>
                      <a:noFill/>
                    </a:ln>
                  </pic:spPr>
                </pic:pic>
              </a:graphicData>
            </a:graphic>
          </wp:anchor>
        </w:drawing>
      </w:r>
    </w:p>
    <w:p w14:paraId="1F10E3DC">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（三）基础设施清单</w:t>
      </w:r>
    </w:p>
    <w:p w14:paraId="66023B6C">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本赛项竞赛所需计算机、仿真系统及配套软件等与竞赛直接相关的设备设施由赛场统一提供，无需选手自带。赛场提供的所有设备、物料、耗材、考题、草稿纸等物品，竞赛结束后严禁携带出赛场。</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2103"/>
        <w:gridCol w:w="3102"/>
        <w:gridCol w:w="1125"/>
        <w:gridCol w:w="1406"/>
      </w:tblGrid>
      <w:tr w14:paraId="1D5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5" w:type="dxa"/>
          </w:tcPr>
          <w:p w14:paraId="7EAE8987">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序号</w:t>
            </w:r>
          </w:p>
        </w:tc>
        <w:tc>
          <w:tcPr>
            <w:tcW w:w="2126" w:type="dxa"/>
          </w:tcPr>
          <w:p w14:paraId="08DF0472">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设备名称</w:t>
            </w:r>
          </w:p>
        </w:tc>
        <w:tc>
          <w:tcPr>
            <w:tcW w:w="3119" w:type="dxa"/>
          </w:tcPr>
          <w:p w14:paraId="6EBA3B64">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参数配置</w:t>
            </w:r>
          </w:p>
        </w:tc>
        <w:tc>
          <w:tcPr>
            <w:tcW w:w="1134" w:type="dxa"/>
          </w:tcPr>
          <w:p w14:paraId="79854B15">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单位</w:t>
            </w:r>
          </w:p>
        </w:tc>
        <w:tc>
          <w:tcPr>
            <w:tcW w:w="1415" w:type="dxa"/>
          </w:tcPr>
          <w:p w14:paraId="099E6A3B">
            <w:pPr>
              <w:spacing w:after="0" w:line="540" w:lineRule="exact"/>
              <w:ind w:firstLine="320" w:firstLineChars="100"/>
              <w:jc w:val="both"/>
              <w:rPr>
                <w:rFonts w:hint="eastAsia" w:ascii="仿宋" w:hAnsi="仿宋" w:eastAsia="仿宋"/>
                <w:color w:val="000000"/>
                <w:sz w:val="32"/>
                <w:szCs w:val="32"/>
                <w:lang w:eastAsia="zh-CN"/>
              </w:rPr>
            </w:pPr>
            <w:r>
              <w:rPr>
                <w:rFonts w:ascii="仿宋" w:hAnsi="仿宋" w:eastAsia="仿宋"/>
                <w:color w:val="000000"/>
                <w:sz w:val="32"/>
                <w:szCs w:val="32"/>
                <w:lang w:eastAsia="zh-CN"/>
              </w:rPr>
              <w:t>数量</w:t>
            </w:r>
          </w:p>
        </w:tc>
      </w:tr>
      <w:tr w14:paraId="2409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5" w:type="dxa"/>
            <w:vAlign w:val="center"/>
          </w:tcPr>
          <w:p w14:paraId="3B5EA11C">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1</w:t>
            </w:r>
          </w:p>
        </w:tc>
        <w:tc>
          <w:tcPr>
            <w:tcW w:w="2126" w:type="dxa"/>
            <w:vAlign w:val="center"/>
          </w:tcPr>
          <w:p w14:paraId="38579440">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台式电脑</w:t>
            </w:r>
          </w:p>
        </w:tc>
        <w:tc>
          <w:tcPr>
            <w:tcW w:w="3119" w:type="dxa"/>
            <w:vAlign w:val="center"/>
          </w:tcPr>
          <w:p w14:paraId="2DF0EE1C">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1.CPU：推荐Intel 酷睿8代i5及以上；</w:t>
            </w:r>
          </w:p>
          <w:p w14:paraId="784428A9">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2.内存：8G及以上；</w:t>
            </w:r>
          </w:p>
          <w:p w14:paraId="3E3C9C0A">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3.操作系统：WIN7及以上版本64位中文操作系统；</w:t>
            </w:r>
          </w:p>
          <w:p w14:paraId="0EC141FD">
            <w:pPr>
              <w:spacing w:after="0" w:line="540" w:lineRule="exact"/>
              <w:rPr>
                <w:rFonts w:ascii="仿宋" w:hAnsi="仿宋" w:eastAsia="仿宋"/>
                <w:color w:val="000000"/>
                <w:sz w:val="32"/>
                <w:szCs w:val="32"/>
                <w:lang w:eastAsia="zh-CN"/>
              </w:rPr>
            </w:pPr>
          </w:p>
          <w:p w14:paraId="43AAC0EF">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4.显卡：NVIDIA GeForce GTX 970、AMD Radeon R9 290同等或更高配置；5.视频输出：支持HDMI 1.4、DisplayPort 1.2或以上；</w:t>
            </w:r>
          </w:p>
          <w:p w14:paraId="12DF365E">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6.分辨率：1920*1080及以上；7.预装截屏软件、录屏软件</w:t>
            </w:r>
          </w:p>
        </w:tc>
        <w:tc>
          <w:tcPr>
            <w:tcW w:w="1134" w:type="dxa"/>
            <w:vAlign w:val="center"/>
          </w:tcPr>
          <w:p w14:paraId="183562D5">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台</w:t>
            </w:r>
          </w:p>
        </w:tc>
        <w:tc>
          <w:tcPr>
            <w:tcW w:w="1415" w:type="dxa"/>
            <w:vAlign w:val="center"/>
          </w:tcPr>
          <w:p w14:paraId="531D3F13">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每选手1台</w:t>
            </w:r>
          </w:p>
        </w:tc>
      </w:tr>
      <w:tr w14:paraId="6306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5" w:type="dxa"/>
            <w:vAlign w:val="center"/>
          </w:tcPr>
          <w:p w14:paraId="1DF934C0">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2</w:t>
            </w:r>
          </w:p>
        </w:tc>
        <w:tc>
          <w:tcPr>
            <w:tcW w:w="2126" w:type="dxa"/>
            <w:vAlign w:val="center"/>
          </w:tcPr>
          <w:p w14:paraId="7C6970B4">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空天地智联网络仿真系统</w:t>
            </w:r>
          </w:p>
        </w:tc>
        <w:tc>
          <w:tcPr>
            <w:tcW w:w="3119" w:type="dxa"/>
            <w:vAlign w:val="center"/>
          </w:tcPr>
          <w:p w14:paraId="28958E44">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1.包含场景部署、网络设计、网络部署和项目验收4大模块；</w:t>
            </w:r>
          </w:p>
          <w:p w14:paraId="1211A1CA">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2.支持城市交通场景数字化升级，可完成车路协同、低空通信、智慧停车场等业务应用；</w:t>
            </w:r>
          </w:p>
          <w:p w14:paraId="303C88D7">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3.支持5G专用网络规划设计，包含组网、拓扑、覆盖、估算与切片设计，自动输出设计报告；</w:t>
            </w:r>
          </w:p>
          <w:p w14:paraId="32BD2DD2">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4.支持5G专网设备配置，可完成设备布放、连线任务；</w:t>
            </w:r>
          </w:p>
          <w:p w14:paraId="2038D843">
            <w:pPr>
              <w:spacing w:after="0" w:line="540" w:lineRule="exact"/>
              <w:rPr>
                <w:rFonts w:ascii="仿宋" w:hAnsi="仿宋" w:eastAsia="仿宋"/>
                <w:color w:val="000000"/>
                <w:sz w:val="32"/>
                <w:szCs w:val="32"/>
                <w:lang w:eastAsia="zh-CN"/>
              </w:rPr>
            </w:pPr>
            <w:r>
              <w:rPr>
                <w:rFonts w:ascii="仿宋" w:hAnsi="仿宋" w:eastAsia="仿宋"/>
                <w:color w:val="000000"/>
                <w:sz w:val="32"/>
                <w:szCs w:val="32"/>
                <w:lang w:eastAsia="zh-CN"/>
              </w:rPr>
              <w:t>5.支持5G专网数据配置，可完成无线网、核心网、承载网数据调试及业务开通；</w:t>
            </w:r>
          </w:p>
          <w:p w14:paraId="7415AA1D">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6.支持项目验收功能，可对智能终端进行业务验证</w:t>
            </w:r>
          </w:p>
        </w:tc>
        <w:tc>
          <w:tcPr>
            <w:tcW w:w="1134" w:type="dxa"/>
            <w:vAlign w:val="center"/>
          </w:tcPr>
          <w:p w14:paraId="7E2C1D22">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套</w:t>
            </w:r>
          </w:p>
        </w:tc>
        <w:tc>
          <w:tcPr>
            <w:tcW w:w="1415" w:type="dxa"/>
            <w:vAlign w:val="center"/>
          </w:tcPr>
          <w:p w14:paraId="7D669244">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每选手1套</w:t>
            </w:r>
          </w:p>
        </w:tc>
      </w:tr>
      <w:tr w14:paraId="4DCC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5" w:type="dxa"/>
            <w:vAlign w:val="center"/>
          </w:tcPr>
          <w:p w14:paraId="7F87B99D">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3</w:t>
            </w:r>
          </w:p>
        </w:tc>
        <w:tc>
          <w:tcPr>
            <w:tcW w:w="2126" w:type="dxa"/>
            <w:vAlign w:val="center"/>
          </w:tcPr>
          <w:p w14:paraId="14E8B3C6">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考试U盘</w:t>
            </w:r>
          </w:p>
        </w:tc>
        <w:tc>
          <w:tcPr>
            <w:tcW w:w="3119" w:type="dxa"/>
            <w:vAlign w:val="center"/>
          </w:tcPr>
          <w:p w14:paraId="3E457099">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用于竞赛结果备份保存，容量不低于8GB</w:t>
            </w:r>
          </w:p>
        </w:tc>
        <w:tc>
          <w:tcPr>
            <w:tcW w:w="1134" w:type="dxa"/>
            <w:vAlign w:val="center"/>
          </w:tcPr>
          <w:p w14:paraId="08FD63DE">
            <w:pPr>
              <w:spacing w:after="0" w:line="540" w:lineRule="exact"/>
              <w:rPr>
                <w:rFonts w:hint="eastAsia" w:ascii="仿宋" w:hAnsi="仿宋" w:eastAsia="仿宋"/>
                <w:color w:val="000000"/>
                <w:sz w:val="32"/>
                <w:szCs w:val="32"/>
                <w:lang w:eastAsia="zh-CN"/>
              </w:rPr>
            </w:pPr>
            <w:r>
              <w:rPr>
                <w:rFonts w:ascii="仿宋" w:hAnsi="仿宋" w:eastAsia="仿宋"/>
                <w:color w:val="000000"/>
                <w:sz w:val="32"/>
                <w:szCs w:val="32"/>
                <w:lang w:eastAsia="zh-CN"/>
              </w:rPr>
              <w:t>个</w:t>
            </w:r>
          </w:p>
        </w:tc>
        <w:tc>
          <w:tcPr>
            <w:tcW w:w="1415" w:type="dxa"/>
            <w:vAlign w:val="center"/>
          </w:tcPr>
          <w:p w14:paraId="7BECFDA8">
            <w:pPr>
              <w:spacing w:after="0" w:line="540" w:lineRule="exact"/>
              <w:jc w:val="center"/>
              <w:rPr>
                <w:rFonts w:hint="eastAsia" w:ascii="仿宋" w:hAnsi="仿宋" w:eastAsia="仿宋"/>
                <w:color w:val="000000"/>
                <w:sz w:val="32"/>
                <w:szCs w:val="32"/>
                <w:lang w:eastAsia="zh-CN"/>
              </w:rPr>
            </w:pPr>
            <w:r>
              <w:rPr>
                <w:rFonts w:ascii="仿宋" w:hAnsi="仿宋" w:eastAsia="仿宋"/>
                <w:color w:val="000000"/>
                <w:sz w:val="32"/>
                <w:szCs w:val="32"/>
                <w:lang w:eastAsia="zh-CN"/>
              </w:rPr>
              <w:t>每选手1个</w:t>
            </w:r>
          </w:p>
        </w:tc>
      </w:tr>
    </w:tbl>
    <w:p w14:paraId="29A32BCA">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备注：设备数量根据实际参赛人数调整，仿真系统支持远程接入赛场。</w:t>
      </w:r>
    </w:p>
    <w:p w14:paraId="73D3AE8F">
      <w:pPr>
        <w:spacing w:after="0" w:line="540" w:lineRule="exact"/>
        <w:ind w:firstLine="602" w:firstLineChars="200"/>
        <w:rPr>
          <w:lang w:eastAsia="zh-CN"/>
        </w:rPr>
      </w:pPr>
      <w:r>
        <w:rPr>
          <w:rFonts w:ascii="黑体" w:hAnsi="黑体" w:eastAsia="黑体"/>
          <w:b/>
          <w:color w:val="000000"/>
          <w:sz w:val="30"/>
          <w:lang w:eastAsia="zh-CN"/>
        </w:rPr>
        <w:t>八、工具材料安排及清单</w:t>
      </w:r>
    </w:p>
    <w:p w14:paraId="713BCA44">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 xml:space="preserve">1. </w:t>
      </w:r>
      <w:r>
        <w:rPr>
          <w:rFonts w:hint="eastAsia" w:ascii="仿宋" w:hAnsi="仿宋" w:eastAsia="仿宋"/>
          <w:color w:val="000000"/>
          <w:sz w:val="32"/>
          <w:szCs w:val="32"/>
          <w:lang w:eastAsia="zh-CN"/>
        </w:rPr>
        <w:t>本项目参赛选手无需自带任何工具、材料。</w:t>
      </w:r>
    </w:p>
    <w:p w14:paraId="1DCB8C50">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 xml:space="preserve">2. </w:t>
      </w:r>
      <w:r>
        <w:rPr>
          <w:rFonts w:hint="eastAsia" w:ascii="仿宋" w:hAnsi="仿宋" w:eastAsia="仿宋"/>
          <w:color w:val="000000"/>
          <w:sz w:val="32"/>
          <w:szCs w:val="32"/>
          <w:lang w:eastAsia="zh-CN"/>
        </w:rPr>
        <w:t>禁止选手携带任何工具、材料进入赛场。</w:t>
      </w:r>
    </w:p>
    <w:p w14:paraId="372F322E">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 xml:space="preserve">3. </w:t>
      </w:r>
      <w:r>
        <w:rPr>
          <w:rFonts w:hint="eastAsia" w:ascii="仿宋" w:hAnsi="仿宋" w:eastAsia="仿宋"/>
          <w:color w:val="000000"/>
          <w:sz w:val="32"/>
          <w:szCs w:val="32"/>
          <w:lang w:eastAsia="zh-CN"/>
        </w:rPr>
        <w:t>赛场提供的设备、设施、物料、耗材、考题、草稿纸等物品，竞赛结束后严禁携带出赛场。</w:t>
      </w:r>
    </w:p>
    <w:p w14:paraId="22522001">
      <w:pPr>
        <w:spacing w:after="0" w:line="540" w:lineRule="exact"/>
        <w:ind w:firstLine="602" w:firstLineChars="200"/>
        <w:rPr>
          <w:lang w:eastAsia="zh-CN"/>
        </w:rPr>
      </w:pPr>
      <w:r>
        <w:rPr>
          <w:rFonts w:ascii="黑体" w:hAnsi="黑体" w:eastAsia="黑体"/>
          <w:b/>
          <w:color w:val="000000"/>
          <w:sz w:val="30"/>
          <w:lang w:eastAsia="zh-CN"/>
        </w:rPr>
        <w:t>九、项目特殊说明</w:t>
      </w:r>
    </w:p>
    <w:p w14:paraId="43A29C88">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（一）赛场纪律</w:t>
      </w:r>
    </w:p>
    <w:p w14:paraId="5BB23B43">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w:t>
      </w:r>
      <w:r>
        <w:rPr>
          <w:rFonts w:hint="eastAsia" w:ascii="仿宋" w:hAnsi="仿宋" w:eastAsia="仿宋"/>
          <w:color w:val="000000"/>
          <w:sz w:val="32"/>
          <w:szCs w:val="32"/>
          <w:lang w:eastAsia="zh-CN"/>
        </w:rPr>
        <w:t>参赛选手须凭竞赛抽签单、身份证和参赛证进入考场；</w:t>
      </w:r>
    </w:p>
    <w:p w14:paraId="5F986EA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2.</w:t>
      </w:r>
      <w:r>
        <w:rPr>
          <w:rFonts w:hint="eastAsia" w:ascii="仿宋" w:hAnsi="仿宋" w:eastAsia="仿宋"/>
          <w:color w:val="000000"/>
          <w:sz w:val="32"/>
          <w:szCs w:val="32"/>
          <w:lang w:eastAsia="zh-CN"/>
        </w:rPr>
        <w:t>参赛选手不得携带除竞赛抽签单、参赛证以外的任何物品进入考场；</w:t>
      </w:r>
    </w:p>
    <w:p w14:paraId="75DACDEB">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3.</w:t>
      </w:r>
      <w:r>
        <w:rPr>
          <w:rFonts w:hint="eastAsia" w:ascii="仿宋" w:hAnsi="仿宋" w:eastAsia="仿宋"/>
          <w:color w:val="000000"/>
          <w:sz w:val="32"/>
          <w:szCs w:val="32"/>
          <w:lang w:eastAsia="zh-CN"/>
        </w:rPr>
        <w:t>进入考场后，参赛选手应按照抽签单进入相应工位，并检查设备状况；</w:t>
      </w:r>
    </w:p>
    <w:p w14:paraId="661A9FD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4.</w:t>
      </w:r>
      <w:r>
        <w:rPr>
          <w:rFonts w:hint="eastAsia" w:ascii="仿宋" w:hAnsi="仿宋" w:eastAsia="仿宋"/>
          <w:color w:val="000000"/>
          <w:sz w:val="32"/>
          <w:szCs w:val="32"/>
          <w:lang w:eastAsia="zh-CN"/>
        </w:rPr>
        <w:t>参赛选手应准时参赛，迟到</w:t>
      </w:r>
      <w:r>
        <w:rPr>
          <w:rFonts w:ascii="仿宋" w:hAnsi="仿宋" w:eastAsia="仿宋"/>
          <w:color w:val="000000"/>
          <w:sz w:val="32"/>
          <w:szCs w:val="32"/>
          <w:lang w:eastAsia="zh-CN"/>
        </w:rPr>
        <w:t>30</w:t>
      </w:r>
      <w:r>
        <w:rPr>
          <w:rFonts w:hint="eastAsia" w:ascii="仿宋" w:hAnsi="仿宋" w:eastAsia="仿宋"/>
          <w:color w:val="000000"/>
          <w:sz w:val="32"/>
          <w:szCs w:val="32"/>
          <w:lang w:eastAsia="zh-CN"/>
        </w:rPr>
        <w:t>分钟以上者，将不得入场，并按自动弃权处理；</w:t>
      </w:r>
    </w:p>
    <w:p w14:paraId="2673C5EA">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5.</w:t>
      </w:r>
      <w:r>
        <w:rPr>
          <w:rFonts w:hint="eastAsia" w:ascii="仿宋" w:hAnsi="仿宋" w:eastAsia="仿宋"/>
          <w:color w:val="000000"/>
          <w:sz w:val="32"/>
          <w:szCs w:val="32"/>
          <w:lang w:eastAsia="zh-CN"/>
        </w:rPr>
        <w:t>参赛选手在竞赛期间可饮水、进食、上洗手间，但其耗时一律计入竞赛时间；</w:t>
      </w:r>
    </w:p>
    <w:p w14:paraId="427C79A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6.</w:t>
      </w:r>
      <w:r>
        <w:rPr>
          <w:rFonts w:hint="eastAsia" w:ascii="仿宋" w:hAnsi="仿宋" w:eastAsia="仿宋"/>
          <w:color w:val="000000"/>
          <w:sz w:val="32"/>
          <w:szCs w:val="32"/>
          <w:lang w:eastAsia="zh-CN"/>
        </w:rPr>
        <w:t>裁判组发出开始竞赛的时间信号后，参赛选手方可进行操作；</w:t>
      </w:r>
    </w:p>
    <w:p w14:paraId="3C54A941">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7.</w:t>
      </w:r>
      <w:r>
        <w:rPr>
          <w:rFonts w:hint="eastAsia" w:ascii="仿宋" w:hAnsi="仿宋" w:eastAsia="仿宋"/>
          <w:color w:val="000000"/>
          <w:sz w:val="32"/>
          <w:szCs w:val="32"/>
          <w:lang w:eastAsia="zh-CN"/>
        </w:rPr>
        <w:t>参赛选手必须独立完成所有项目，除征得裁判长许可，否则严禁与其他选手、与会人员和本单位裁判员交流接触；</w:t>
      </w:r>
    </w:p>
    <w:p w14:paraId="16EE006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8.</w:t>
      </w:r>
      <w:r>
        <w:rPr>
          <w:rFonts w:hint="eastAsia" w:ascii="仿宋" w:hAnsi="仿宋" w:eastAsia="仿宋"/>
          <w:color w:val="000000"/>
          <w:sz w:val="32"/>
          <w:szCs w:val="32"/>
          <w:lang w:eastAsia="zh-CN"/>
        </w:rPr>
        <w:t>参赛选手不得在试卷和答题纸上做任何不属于试题要求范围的标记；</w:t>
      </w:r>
    </w:p>
    <w:p w14:paraId="439318F5">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9.</w:t>
      </w:r>
      <w:r>
        <w:rPr>
          <w:rFonts w:hint="eastAsia" w:ascii="仿宋" w:hAnsi="仿宋" w:eastAsia="仿宋"/>
          <w:color w:val="000000"/>
          <w:sz w:val="32"/>
          <w:szCs w:val="32"/>
          <w:lang w:eastAsia="zh-CN"/>
        </w:rPr>
        <w:t>竞赛期间，参赛选手遇有问题应向裁判员举手示意，由裁判员与技术工作人员负责处理；</w:t>
      </w:r>
    </w:p>
    <w:p w14:paraId="7D315427">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10.</w:t>
      </w:r>
      <w:r>
        <w:rPr>
          <w:rFonts w:hint="eastAsia" w:ascii="仿宋" w:hAnsi="仿宋" w:eastAsia="仿宋"/>
          <w:color w:val="000000"/>
          <w:sz w:val="32"/>
          <w:szCs w:val="32"/>
          <w:lang w:eastAsia="zh-CN"/>
        </w:rPr>
        <w:t>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651A964E">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11.</w:t>
      </w:r>
      <w:r>
        <w:rPr>
          <w:rFonts w:hint="eastAsia" w:ascii="仿宋" w:hAnsi="仿宋" w:eastAsia="仿宋"/>
          <w:color w:val="000000"/>
          <w:sz w:val="32"/>
          <w:szCs w:val="32"/>
          <w:lang w:eastAsia="zh-CN"/>
        </w:rPr>
        <w:t>裁判工作人员发出结束竞赛的时间信号后，参赛选手应立即停止操作，经裁判长许可后，依次有序地离开赛场。</w:t>
      </w:r>
    </w:p>
    <w:p w14:paraId="7BB4097F">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（二）异常情况处理说明</w:t>
      </w:r>
    </w:p>
    <w:p w14:paraId="38E9A62A">
      <w:pPr>
        <w:spacing w:after="0" w:line="54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比赛期间，参赛选手及其代表队的其他人员如有违反比赛规则的行为，将采取以下处理措施：</w:t>
      </w:r>
    </w:p>
    <w:p w14:paraId="76986DEC">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w:t>
      </w:r>
      <w:r>
        <w:rPr>
          <w:rFonts w:hint="eastAsia" w:ascii="仿宋" w:hAnsi="仿宋" w:eastAsia="仿宋"/>
          <w:color w:val="000000"/>
          <w:sz w:val="32"/>
          <w:szCs w:val="32"/>
          <w:lang w:eastAsia="zh-CN"/>
        </w:rPr>
        <w:t>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50BE00A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2.</w:t>
      </w:r>
      <w:r>
        <w:rPr>
          <w:rFonts w:hint="eastAsia" w:ascii="仿宋" w:hAnsi="仿宋" w:eastAsia="仿宋"/>
          <w:color w:val="000000"/>
          <w:sz w:val="32"/>
          <w:szCs w:val="32"/>
          <w:lang w:eastAsia="zh-CN"/>
        </w:rPr>
        <w:t>如参赛选手被发现擅自处理比赛设备，故意修改设备正常参数，为其他选手设置故障等相应问题，不论原因如何，应立即向裁判长报告，并按照裁判长意见进行处理；</w:t>
      </w:r>
    </w:p>
    <w:p w14:paraId="242CD620">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3.</w:t>
      </w:r>
      <w:r>
        <w:rPr>
          <w:rFonts w:hint="eastAsia" w:ascii="仿宋" w:hAnsi="仿宋" w:eastAsia="仿宋"/>
          <w:color w:val="000000"/>
          <w:sz w:val="32"/>
          <w:szCs w:val="32"/>
          <w:lang w:eastAsia="zh-CN"/>
        </w:rPr>
        <w:t>如选手被发现通过网络、通信设备等，将比赛赛题、比赛运行文件及软件、比赛账号等发布出去，提前上传、访问比赛试题的具体解决方案、步骤，一经查实，取消比赛成绩；</w:t>
      </w:r>
    </w:p>
    <w:p w14:paraId="671F44F7">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4.</w:t>
      </w:r>
      <w:r>
        <w:rPr>
          <w:rFonts w:hint="eastAsia" w:ascii="仿宋" w:hAnsi="仿宋" w:eastAsia="仿宋"/>
          <w:color w:val="000000"/>
          <w:sz w:val="32"/>
          <w:szCs w:val="32"/>
          <w:lang w:eastAsia="zh-CN"/>
        </w:rPr>
        <w:t>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35A5B28A">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5.</w:t>
      </w:r>
      <w:r>
        <w:rPr>
          <w:rFonts w:hint="eastAsia" w:ascii="仿宋" w:hAnsi="仿宋" w:eastAsia="仿宋"/>
          <w:color w:val="000000"/>
          <w:sz w:val="32"/>
          <w:szCs w:val="32"/>
          <w:lang w:eastAsia="zh-CN"/>
        </w:rPr>
        <w:t>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30BF26CF">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6.</w:t>
      </w:r>
      <w:r>
        <w:rPr>
          <w:rFonts w:hint="eastAsia" w:ascii="仿宋" w:hAnsi="仿宋" w:eastAsia="仿宋"/>
          <w:color w:val="000000"/>
          <w:sz w:val="32"/>
          <w:szCs w:val="32"/>
          <w:lang w:eastAsia="zh-CN"/>
        </w:rPr>
        <w:t>各项目对选手进行的相关违规违纪处理，应由裁判长及时向监督仲裁人员通报。</w:t>
      </w:r>
    </w:p>
    <w:p w14:paraId="19C40F41">
      <w:pPr>
        <w:spacing w:after="0" w:line="54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上述违规行为及严重程度，由裁判组按照简单多数原则认定。未尽事宜，参照全国行业职业技能竞赛工作相关规定，由裁判组按照简单多数原则讨论决定。</w:t>
      </w:r>
    </w:p>
    <w:p w14:paraId="7450FBF6">
      <w:pPr>
        <w:spacing w:after="0" w:line="540" w:lineRule="exact"/>
        <w:ind w:firstLine="602" w:firstLineChars="200"/>
        <w:rPr>
          <w:lang w:eastAsia="zh-CN"/>
        </w:rPr>
      </w:pPr>
      <w:r>
        <w:rPr>
          <w:rFonts w:ascii="黑体" w:hAnsi="黑体" w:eastAsia="黑体"/>
          <w:b/>
          <w:color w:val="000000"/>
          <w:sz w:val="30"/>
          <w:lang w:eastAsia="zh-CN"/>
        </w:rPr>
        <w:t>十、安全办赛要求</w:t>
      </w:r>
    </w:p>
    <w:p w14:paraId="61DF0FB7">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（一）选手安全防护要求</w:t>
      </w:r>
    </w:p>
    <w:p w14:paraId="593E64A8">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w:t>
      </w:r>
      <w:r>
        <w:rPr>
          <w:rFonts w:hint="eastAsia" w:ascii="仿宋" w:hAnsi="仿宋" w:eastAsia="仿宋"/>
          <w:color w:val="000000"/>
          <w:sz w:val="32"/>
          <w:szCs w:val="32"/>
          <w:lang w:eastAsia="zh-CN"/>
        </w:rPr>
        <w:t>参赛选手应严格遵守设备安全操作规程；</w:t>
      </w:r>
    </w:p>
    <w:p w14:paraId="49A86A01">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2.</w:t>
      </w:r>
      <w:r>
        <w:rPr>
          <w:rFonts w:hint="eastAsia" w:ascii="仿宋" w:hAnsi="仿宋" w:eastAsia="仿宋"/>
          <w:color w:val="000000"/>
          <w:sz w:val="32"/>
          <w:szCs w:val="32"/>
          <w:lang w:eastAsia="zh-CN"/>
        </w:rPr>
        <w:t>参赛选手停止操作时，应保证设备的正常运行，比赛结束后，所有设备保持运行状态，不要拆、动硬件连接，确保设备正常运行和正常评分；</w:t>
      </w:r>
    </w:p>
    <w:p w14:paraId="5CF7948F">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3.</w:t>
      </w:r>
      <w:r>
        <w:rPr>
          <w:rFonts w:hint="eastAsia" w:ascii="仿宋" w:hAnsi="仿宋" w:eastAsia="仿宋"/>
          <w:color w:val="000000"/>
          <w:sz w:val="32"/>
          <w:szCs w:val="32"/>
          <w:lang w:eastAsia="zh-CN"/>
        </w:rPr>
        <w:t>参赛选手应遵从安全规范操作，例如</w:t>
      </w:r>
      <w:r>
        <w:rPr>
          <w:rFonts w:ascii="仿宋" w:hAnsi="仿宋" w:eastAsia="仿宋"/>
          <w:color w:val="000000"/>
          <w:sz w:val="32"/>
          <w:szCs w:val="32"/>
          <w:lang w:eastAsia="zh-CN"/>
        </w:rPr>
        <w:t>ESD</w:t>
      </w:r>
      <w:r>
        <w:rPr>
          <w:rFonts w:hint="eastAsia" w:ascii="仿宋" w:hAnsi="仿宋" w:eastAsia="仿宋"/>
          <w:color w:val="000000"/>
          <w:sz w:val="32"/>
          <w:szCs w:val="32"/>
          <w:lang w:eastAsia="zh-CN"/>
        </w:rPr>
        <w:t>（静电放电）——静电放电无害环境下的设备用途、安全使用及储存；</w:t>
      </w:r>
    </w:p>
    <w:p w14:paraId="210B16E1">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4.</w:t>
      </w:r>
      <w:r>
        <w:rPr>
          <w:rFonts w:hint="eastAsia" w:ascii="仿宋" w:hAnsi="仿宋" w:eastAsia="仿宋"/>
          <w:color w:val="000000"/>
          <w:sz w:val="32"/>
          <w:szCs w:val="32"/>
          <w:lang w:eastAsia="zh-CN"/>
        </w:rPr>
        <w:t>参赛选手应保证设备和信息完整及安全。</w:t>
      </w:r>
    </w:p>
    <w:p w14:paraId="3436A48E">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5.</w:t>
      </w:r>
      <w:r>
        <w:rPr>
          <w:rFonts w:hint="eastAsia" w:ascii="仿宋" w:hAnsi="仿宋" w:eastAsia="仿宋"/>
          <w:color w:val="000000"/>
          <w:sz w:val="32"/>
          <w:szCs w:val="32"/>
          <w:lang w:eastAsia="zh-CN"/>
        </w:rPr>
        <w:t>每个参赛单位必须为参赛选手办理比赛期间的意外伤害保险。</w:t>
      </w:r>
    </w:p>
    <w:p w14:paraId="4E79ABE5">
      <w:pPr>
        <w:spacing w:after="0" w:line="540" w:lineRule="exact"/>
        <w:ind w:firstLine="640" w:firstLineChars="200"/>
        <w:rPr>
          <w:rFonts w:hint="eastAsia" w:ascii="楷体" w:hAnsi="楷体" w:eastAsia="楷体"/>
          <w:bCs/>
          <w:sz w:val="32"/>
          <w:szCs w:val="32"/>
          <w:lang w:eastAsia="zh-CN"/>
        </w:rPr>
      </w:pPr>
      <w:r>
        <w:rPr>
          <w:rFonts w:ascii="楷体" w:hAnsi="楷体" w:eastAsia="楷体"/>
          <w:bCs/>
          <w:color w:val="000000"/>
          <w:sz w:val="32"/>
          <w:szCs w:val="32"/>
          <w:lang w:eastAsia="zh-CN"/>
        </w:rPr>
        <w:t>（二）赛事安全要求</w:t>
      </w:r>
    </w:p>
    <w:p w14:paraId="09ED8D50">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1.</w:t>
      </w:r>
      <w:r>
        <w:rPr>
          <w:rFonts w:hint="eastAsia" w:ascii="仿宋" w:hAnsi="仿宋" w:eastAsia="仿宋"/>
          <w:color w:val="000000"/>
          <w:sz w:val="32"/>
          <w:szCs w:val="32"/>
          <w:lang w:eastAsia="zh-CN"/>
        </w:rPr>
        <w:t>禁止选手及所有参加赛事的人员携带任何有毒有害物品进入竞赛现场；</w:t>
      </w:r>
    </w:p>
    <w:p w14:paraId="7952F48D">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2.</w:t>
      </w:r>
      <w:r>
        <w:rPr>
          <w:rFonts w:hint="eastAsia" w:ascii="仿宋" w:hAnsi="仿宋" w:eastAsia="仿宋"/>
          <w:color w:val="000000"/>
          <w:sz w:val="32"/>
          <w:szCs w:val="32"/>
          <w:lang w:eastAsia="zh-CN"/>
        </w:rPr>
        <w:t>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7E7CB1CA">
      <w:pPr>
        <w:spacing w:after="0" w:line="540" w:lineRule="exact"/>
        <w:ind w:firstLine="640" w:firstLineChars="200"/>
        <w:rPr>
          <w:rFonts w:ascii="仿宋" w:hAnsi="仿宋" w:eastAsia="仿宋"/>
          <w:color w:val="000000"/>
          <w:sz w:val="32"/>
          <w:szCs w:val="32"/>
          <w:lang w:eastAsia="zh-CN"/>
        </w:rPr>
      </w:pPr>
      <w:r>
        <w:rPr>
          <w:rFonts w:ascii="仿宋" w:hAnsi="仿宋" w:eastAsia="仿宋"/>
          <w:color w:val="000000"/>
          <w:sz w:val="32"/>
          <w:szCs w:val="32"/>
          <w:lang w:eastAsia="zh-CN"/>
        </w:rPr>
        <w:t>3.</w:t>
      </w:r>
      <w:r>
        <w:rPr>
          <w:rFonts w:hint="eastAsia" w:ascii="仿宋" w:hAnsi="仿宋" w:eastAsia="仿宋"/>
          <w:color w:val="000000"/>
          <w:sz w:val="32"/>
          <w:szCs w:val="32"/>
          <w:lang w:eastAsia="zh-CN"/>
        </w:rPr>
        <w:t>赛场须配备相应医疗人员和急救人员，并备有相应急救设施。</w:t>
      </w:r>
    </w:p>
    <w:p w14:paraId="3E51C9D3">
      <w:pPr>
        <w:spacing w:after="0" w:line="54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lang w:eastAsia="zh-CN"/>
        </w:rPr>
        <w:t>4.</w:t>
      </w:r>
      <w:r>
        <w:rPr>
          <w:rFonts w:hint="eastAsia" w:ascii="仿宋" w:hAnsi="仿宋" w:eastAsia="仿宋"/>
          <w:color w:val="000000"/>
          <w:sz w:val="32"/>
          <w:szCs w:val="32"/>
          <w:lang w:eastAsia="zh-CN"/>
        </w:rPr>
        <w:t>赛场设置不间断电源（</w:t>
      </w:r>
      <w:r>
        <w:rPr>
          <w:rFonts w:ascii="仿宋" w:hAnsi="仿宋" w:eastAsia="仿宋"/>
          <w:color w:val="000000"/>
          <w:sz w:val="32"/>
          <w:szCs w:val="32"/>
          <w:lang w:eastAsia="zh-CN"/>
        </w:rPr>
        <w:t>UPS</w:t>
      </w:r>
      <w:r>
        <w:rPr>
          <w:rFonts w:hint="eastAsia" w:ascii="仿宋" w:hAnsi="仿宋" w:eastAsia="仿宋"/>
          <w:color w:val="000000"/>
          <w:sz w:val="32"/>
          <w:szCs w:val="32"/>
          <w:lang w:eastAsia="zh-CN"/>
        </w:rPr>
        <w:t>），对于关键设备如计时系统、通讯设备等，</w:t>
      </w:r>
      <w:r>
        <w:rPr>
          <w:rFonts w:ascii="仿宋" w:hAnsi="仿宋" w:eastAsia="仿宋"/>
          <w:color w:val="000000"/>
          <w:sz w:val="32"/>
          <w:szCs w:val="32"/>
          <w:lang w:eastAsia="zh-CN"/>
        </w:rPr>
        <w:t>UPS</w:t>
      </w:r>
      <w:r>
        <w:rPr>
          <w:rFonts w:hint="eastAsia" w:ascii="仿宋" w:hAnsi="仿宋" w:eastAsia="仿宋"/>
          <w:color w:val="000000"/>
          <w:sz w:val="32"/>
          <w:szCs w:val="32"/>
          <w:lang w:eastAsia="zh-CN"/>
        </w:rPr>
        <w:t>可以在主电源断电后提供短时间的紧急电力，以保障赛事的顺利进行或数据的保存。</w:t>
      </w:r>
    </w:p>
    <w:sectPr>
      <w:footerReference r:id="rId13" w:type="default"/>
      <w:pgSz w:w="12240" w:h="15840"/>
      <w:pgMar w:top="1440" w:right="1797" w:bottom="1440" w:left="179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4E5E7">
    <w:pPr>
      <w:pStyle w:val="24"/>
      <w:tabs>
        <w:tab w:val="center" w:pos="4153"/>
        <w:tab w:val="right" w:pos="8306"/>
        <w:tab w:val="clear" w:pos="4680"/>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E43A7">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8FA32">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129A">
    <w:pPr>
      <w:pStyle w:val="24"/>
      <w:tabs>
        <w:tab w:val="center" w:pos="4323"/>
        <w:tab w:val="right" w:pos="8306"/>
        <w:tab w:val="clear" w:pos="4680"/>
        <w:tab w:val="clear" w:pos="9360"/>
      </w:tabs>
    </w:pPr>
    <w:r>
      <w:rPr>
        <w:rFonts w:hint="eastAsia" w:eastAsia="宋体"/>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C617E">
    <w:pPr>
      <w:pStyle w:val="24"/>
      <w:tabs>
        <w:tab w:val="center" w:pos="4323"/>
        <w:tab w:val="right" w:pos="8306"/>
        <w:tab w:val="clear" w:pos="4680"/>
        <w:tab w:val="clear" w:pos="9360"/>
      </w:tabs>
    </w:pPr>
    <w:r>
      <w:rPr>
        <w:rFonts w:hint="eastAsia" w:eastAsia="宋体"/>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2350931"/>
      <w:docPartObj>
        <w:docPartGallery w:val="AutoText"/>
      </w:docPartObj>
    </w:sdtPr>
    <w:sdtContent>
      <w:p w14:paraId="7E95763D">
        <w:pPr>
          <w:pStyle w:val="24"/>
          <w:jc w:val="center"/>
          <w:rPr>
            <w:rFonts w:hint="eastAsia"/>
          </w:rPr>
        </w:pPr>
        <w:r>
          <w:fldChar w:fldCharType="begin"/>
        </w:r>
        <w:r>
          <w:instrText xml:space="preserve">PAGE   \* MERGEFORMAT</w:instrText>
        </w:r>
        <w:r>
          <w:fldChar w:fldCharType="separate"/>
        </w:r>
        <w:r>
          <w:rPr>
            <w:lang w:val="zh-CN" w:eastAsia="zh-CN"/>
          </w:rPr>
          <w:t>2</w:t>
        </w:r>
        <w:r>
          <w:fldChar w:fldCharType="end"/>
        </w:r>
      </w:p>
    </w:sdtContent>
  </w:sdt>
  <w:p w14:paraId="2D55462D">
    <w:pPr>
      <w:pStyle w:val="24"/>
      <w:tabs>
        <w:tab w:val="center" w:pos="4153"/>
        <w:tab w:val="right" w:pos="8306"/>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7111">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C1B44">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C9D2C">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4C76"/>
    <w:rsid w:val="000E7C17"/>
    <w:rsid w:val="00120F08"/>
    <w:rsid w:val="0015074B"/>
    <w:rsid w:val="001630A1"/>
    <w:rsid w:val="0029639D"/>
    <w:rsid w:val="002B4E3C"/>
    <w:rsid w:val="00326F90"/>
    <w:rsid w:val="004861DC"/>
    <w:rsid w:val="004B4CFB"/>
    <w:rsid w:val="00782CA5"/>
    <w:rsid w:val="00870F01"/>
    <w:rsid w:val="00AA1D8D"/>
    <w:rsid w:val="00AA3788"/>
    <w:rsid w:val="00AC2A75"/>
    <w:rsid w:val="00B47730"/>
    <w:rsid w:val="00BF14B3"/>
    <w:rsid w:val="00C200C8"/>
    <w:rsid w:val="00CB0664"/>
    <w:rsid w:val="00D904FF"/>
    <w:rsid w:val="00F26429"/>
    <w:rsid w:val="00F32109"/>
    <w:rsid w:val="00F50BAD"/>
    <w:rsid w:val="00F628E6"/>
    <w:rsid w:val="00FC693F"/>
    <w:rsid w:val="1FF25216"/>
    <w:rsid w:val="2D4C117B"/>
    <w:rsid w:val="44D84A14"/>
    <w:rsid w:val="47910B4A"/>
    <w:rsid w:val="500D72A2"/>
    <w:rsid w:val="54F74D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qFormat/>
    <w:uiPriority w:val="0"/>
    <w:pPr>
      <w:ind w:left="420" w:leftChars="200"/>
    </w:pPr>
  </w:style>
  <w:style w:type="paragraph" w:styleId="30">
    <w:name w:val="Body Text 2"/>
    <w:basedOn w:val="1"/>
    <w:link w:val="147"/>
    <w:unhideWhenUsed/>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页眉 字符"/>
    <w:basedOn w:val="134"/>
    <w:link w:val="25"/>
    <w:uiPriority w:val="99"/>
  </w:style>
  <w:style w:type="character" w:customStyle="1" w:styleId="138">
    <w:name w:val="页脚 字符"/>
    <w:basedOn w:val="134"/>
    <w:link w:val="24"/>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字符"/>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字符"/>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字符"/>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字符"/>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字符"/>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字符"/>
    <w:basedOn w:val="134"/>
    <w:link w:val="19"/>
    <w:uiPriority w:val="99"/>
  </w:style>
  <w:style w:type="character" w:customStyle="1" w:styleId="147">
    <w:name w:val="正文文本 2 字符"/>
    <w:basedOn w:val="134"/>
    <w:link w:val="30"/>
    <w:uiPriority w:val="99"/>
  </w:style>
  <w:style w:type="character" w:customStyle="1" w:styleId="148">
    <w:name w:val="正文文本 3 字符"/>
    <w:basedOn w:val="134"/>
    <w:link w:val="17"/>
    <w:uiPriority w:val="99"/>
    <w:rPr>
      <w:sz w:val="16"/>
      <w:szCs w:val="16"/>
    </w:rPr>
  </w:style>
  <w:style w:type="character" w:customStyle="1" w:styleId="149">
    <w:name w:val="宏文本 字符"/>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字符"/>
    <w:basedOn w:val="134"/>
    <w:link w:val="150"/>
    <w:uiPriority w:val="29"/>
    <w:rPr>
      <w:i/>
      <w:iCs/>
      <w:color w:val="000000" w:themeColor="text1"/>
      <w14:textFill>
        <w14:solidFill>
          <w14:schemeClr w14:val="tx1"/>
        </w14:solidFill>
      </w14:textFill>
    </w:rPr>
  </w:style>
  <w:style w:type="character" w:customStyle="1" w:styleId="152">
    <w:name w:val="标题 4 字符"/>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字符"/>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标题 6 字符"/>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标题 7 字符"/>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字符"/>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字符"/>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字符"/>
    <w:basedOn w:val="134"/>
    <w:link w:val="158"/>
    <w:uiPriority w:val="30"/>
    <w:rPr>
      <w:b/>
      <w:bCs/>
      <w:i/>
      <w:iCs/>
      <w:color w:val="4F81BD" w:themeColor="accent1"/>
      <w14:textFill>
        <w14:solidFill>
          <w14:schemeClr w14:val="accent1"/>
        </w14:solidFill>
      </w14:textFill>
    </w:rPr>
  </w:style>
  <w:style w:type="character" w:customStyle="1" w:styleId="160">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4"/>
    <w:qFormat/>
    <w:uiPriority w:val="21"/>
    <w:rPr>
      <w:b/>
      <w:bCs/>
      <w:i/>
      <w:iCs/>
      <w:color w:val="4F81BD" w:themeColor="accent1"/>
      <w14:textFill>
        <w14:solidFill>
          <w14:schemeClr w14:val="accent1"/>
        </w14:solidFill>
      </w14:textFill>
    </w:rPr>
  </w:style>
  <w:style w:type="character" w:customStyle="1" w:styleId="162">
    <w:name w:val="不明显参考1"/>
    <w:basedOn w:val="134"/>
    <w:qFormat/>
    <w:uiPriority w:val="31"/>
    <w:rPr>
      <w:smallCaps/>
      <w:color w:val="C0504D" w:themeColor="accent2"/>
      <w:u w:val="single"/>
      <w14:textFill>
        <w14:solidFill>
          <w14:schemeClr w14:val="accent2"/>
        </w14:solidFill>
      </w14:textFill>
    </w:rPr>
  </w:style>
  <w:style w:type="character" w:customStyle="1" w:styleId="163">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4"/>
    <w:qFormat/>
    <w:uiPriority w:val="33"/>
    <w:rPr>
      <w:b/>
      <w:bCs/>
      <w:smallCaps/>
      <w:spacing w:val="5"/>
    </w:rPr>
  </w:style>
  <w:style w:type="paragraph" w:customStyle="1" w:styleId="165">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15</Pages>
  <Words>4467</Words>
  <Characters>4652</Characters>
  <Lines>222</Lines>
  <Paragraphs>202</Paragraphs>
  <TotalTime>19</TotalTime>
  <ScaleCrop>false</ScaleCrop>
  <LinksUpToDate>false</LinksUpToDate>
  <CharactersWithSpaces>4960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十一黎夏</cp:lastModifiedBy>
  <dcterms:modified xsi:type="dcterms:W3CDTF">2026-09-28T04:10:51Z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eyJoZGlkIjoiYTFiOWMzNGI0MTg2ZDdhYWNiODZjMDhlNjU3N2U4OTQiLCJ1c2VySWQiOiIyNTA1MTA3NjYifQ==</vt:lpwstr>
  </property>
  <property fmtid="{D5CDD505-2E9C-101B-9397-08002B2CF9AE}" pid="3" name="KSOProductBuildVer">
    <vt:lpwstr>2052-12.1.0.28505</vt:lpwstr>
  </property>
  <property fmtid="{D5CDD505-2E9C-101B-9397-08002B2CF9AE}" pid="4" name="ICV">
    <vt:lpwstr>355C557CF56746119BF8915EA65638D1_12</vt:lpwstr>
  </property>
</Properties>
</file>