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F984C" w14:textId="77777777" w:rsidR="0034057B" w:rsidRDefault="0034057B" w:rsidP="00CD165C">
      <w:pPr>
        <w:spacing w:afterLines="0" w:after="0" w:line="540" w:lineRule="exact"/>
      </w:pPr>
    </w:p>
    <w:p w14:paraId="10D250A9" w14:textId="77777777" w:rsidR="0034057B" w:rsidRDefault="0034057B" w:rsidP="00CD165C">
      <w:pPr>
        <w:spacing w:afterLines="0" w:after="0" w:line="540" w:lineRule="exact"/>
      </w:pPr>
    </w:p>
    <w:p w14:paraId="6F6D2DF2" w14:textId="77777777" w:rsidR="0034057B" w:rsidRDefault="0034057B" w:rsidP="00CD165C">
      <w:pPr>
        <w:spacing w:afterLines="0" w:after="0" w:line="540" w:lineRule="exact"/>
      </w:pPr>
    </w:p>
    <w:p w14:paraId="4A8892DA" w14:textId="77777777" w:rsidR="0034057B" w:rsidRDefault="00000000" w:rsidP="00CD165C">
      <w:pPr>
        <w:spacing w:afterLines="0" w:after="0" w:line="540" w:lineRule="exact"/>
        <w:jc w:val="center"/>
      </w:pPr>
      <w:r>
        <w:rPr>
          <w:rFonts w:ascii="方正小标宋_GBK" w:eastAsia="方正小标宋_GBK" w:hAnsi="方正小标宋_GBK" w:cs="方正小标宋_GBK" w:hint="eastAsia"/>
          <w:sz w:val="44"/>
          <w:szCs w:val="44"/>
        </w:rPr>
        <w:t>安徽省职业技能竞赛</w:t>
      </w:r>
    </w:p>
    <w:p w14:paraId="74768B6F" w14:textId="77777777" w:rsidR="0034057B" w:rsidRDefault="00000000" w:rsidP="00CD165C">
      <w:pPr>
        <w:spacing w:afterLines="0" w:after="0" w:line="54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——第三届全国信息通信行业职业技能竞赛</w:t>
      </w:r>
    </w:p>
    <w:p w14:paraId="02D02427" w14:textId="77777777" w:rsidR="0034057B" w:rsidRDefault="00000000" w:rsidP="00CD165C">
      <w:pPr>
        <w:spacing w:afterLines="0" w:after="0" w:line="54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安徽省选拔赛</w:t>
      </w:r>
    </w:p>
    <w:p w14:paraId="0607A558" w14:textId="77777777" w:rsidR="0034057B" w:rsidRDefault="0034057B" w:rsidP="00CD165C">
      <w:pPr>
        <w:spacing w:afterLines="0" w:after="0" w:line="540" w:lineRule="exact"/>
      </w:pPr>
    </w:p>
    <w:p w14:paraId="6E5EC4C9" w14:textId="77777777" w:rsidR="0034057B" w:rsidRDefault="0034057B" w:rsidP="00CD165C">
      <w:pPr>
        <w:spacing w:afterLines="0" w:after="0" w:line="540" w:lineRule="exact"/>
      </w:pPr>
    </w:p>
    <w:p w14:paraId="44B03D1C" w14:textId="77777777" w:rsidR="0034057B" w:rsidRDefault="0034057B" w:rsidP="00CD165C">
      <w:pPr>
        <w:spacing w:afterLines="0" w:after="0" w:line="540" w:lineRule="exact"/>
      </w:pPr>
    </w:p>
    <w:p w14:paraId="38252DAB" w14:textId="77777777" w:rsidR="0034057B" w:rsidRDefault="0034057B" w:rsidP="00CD165C">
      <w:pPr>
        <w:spacing w:afterLines="0" w:after="0" w:line="540" w:lineRule="exact"/>
      </w:pPr>
    </w:p>
    <w:p w14:paraId="0555D271" w14:textId="77777777" w:rsidR="0034057B" w:rsidRDefault="0034057B" w:rsidP="00CD165C">
      <w:pPr>
        <w:spacing w:afterLines="0" w:after="0" w:line="540" w:lineRule="exact"/>
      </w:pPr>
    </w:p>
    <w:p w14:paraId="4876D9F2" w14:textId="77777777" w:rsidR="0034057B" w:rsidRDefault="00000000" w:rsidP="00CD165C">
      <w:pPr>
        <w:spacing w:afterLines="0" w:after="0" w:line="54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传输机务员赛项</w:t>
      </w:r>
    </w:p>
    <w:p w14:paraId="1293E8CA" w14:textId="77777777" w:rsidR="0034057B" w:rsidRDefault="00000000" w:rsidP="00CD165C">
      <w:pPr>
        <w:spacing w:afterLines="0" w:after="0" w:line="54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技术文件</w:t>
      </w:r>
    </w:p>
    <w:p w14:paraId="4F5658FC" w14:textId="77777777" w:rsidR="0034057B" w:rsidRDefault="0034057B" w:rsidP="00CD165C">
      <w:pPr>
        <w:spacing w:afterLines="0" w:after="0" w:line="540" w:lineRule="exact"/>
      </w:pPr>
    </w:p>
    <w:p w14:paraId="3EA09FF4" w14:textId="77777777" w:rsidR="0034057B" w:rsidRDefault="0034057B" w:rsidP="00CD165C">
      <w:pPr>
        <w:spacing w:afterLines="0" w:after="0" w:line="540" w:lineRule="exact"/>
      </w:pPr>
    </w:p>
    <w:p w14:paraId="33251667" w14:textId="77777777" w:rsidR="0034057B" w:rsidRDefault="0034057B" w:rsidP="00CD165C">
      <w:pPr>
        <w:spacing w:afterLines="0" w:after="0" w:line="540" w:lineRule="exact"/>
      </w:pPr>
    </w:p>
    <w:p w14:paraId="30D94130" w14:textId="77777777" w:rsidR="0034057B" w:rsidRDefault="0034057B" w:rsidP="00CD165C">
      <w:pPr>
        <w:spacing w:afterLines="0" w:after="0" w:line="540" w:lineRule="exact"/>
      </w:pPr>
    </w:p>
    <w:p w14:paraId="19A6AB20" w14:textId="77777777" w:rsidR="0034057B" w:rsidRDefault="0034057B" w:rsidP="00CD165C">
      <w:pPr>
        <w:spacing w:afterLines="0" w:after="0" w:line="540" w:lineRule="exact"/>
      </w:pPr>
    </w:p>
    <w:p w14:paraId="29FFB88D" w14:textId="77777777" w:rsidR="0034057B" w:rsidRDefault="0034057B" w:rsidP="00CD165C">
      <w:pPr>
        <w:spacing w:afterLines="0" w:after="0" w:line="540" w:lineRule="exact"/>
      </w:pPr>
    </w:p>
    <w:p w14:paraId="5257CF77" w14:textId="77777777" w:rsidR="0034057B" w:rsidRDefault="00000000" w:rsidP="00CD165C">
      <w:pPr>
        <w:spacing w:afterLines="0" w:after="0" w:line="540" w:lineRule="exact"/>
        <w:jc w:val="center"/>
      </w:pPr>
      <w:r>
        <w:rPr>
          <w:rFonts w:ascii="宋体" w:eastAsia="宋体" w:hAnsi="宋体"/>
          <w:color w:val="000000"/>
          <w:sz w:val="28"/>
        </w:rPr>
        <w:t>二〇二六年九月</w:t>
      </w:r>
    </w:p>
    <w:p w14:paraId="0DBEE4B2" w14:textId="77777777" w:rsidR="0034057B" w:rsidRDefault="0034057B" w:rsidP="00CD165C">
      <w:pPr>
        <w:spacing w:afterLines="0" w:after="0" w:line="540" w:lineRule="exact"/>
        <w:jc w:val="center"/>
        <w:rPr>
          <w:rFonts w:ascii="仿宋_GB2312" w:eastAsia="仿宋_GB2312" w:hAnsi="仿宋_GB2312" w:cs="仿宋_GB2312" w:hint="eastAsia"/>
          <w:b/>
          <w:bCs/>
          <w:sz w:val="32"/>
          <w:szCs w:val="32"/>
        </w:rPr>
        <w:sectPr w:rsidR="0034057B">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cols w:space="720"/>
          <w:docGrid w:linePitch="360"/>
        </w:sectPr>
      </w:pPr>
    </w:p>
    <w:p w14:paraId="6F5839AF" w14:textId="77777777" w:rsidR="0034057B" w:rsidRDefault="00000000" w:rsidP="00CD165C">
      <w:pPr>
        <w:spacing w:afterLines="0" w:after="0" w:line="54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lastRenderedPageBreak/>
        <w:t>目录</w:t>
      </w:r>
    </w:p>
    <w:p w14:paraId="26A9D12F" w14:textId="77777777" w:rsidR="0034057B" w:rsidRDefault="00000000" w:rsidP="00CD165C">
      <w:pPr>
        <w:pStyle w:val="TOC1"/>
        <w:tabs>
          <w:tab w:val="right" w:leader="dot" w:pos="8845"/>
        </w:tabs>
        <w:spacing w:afterLines="0" w:after="0" w:line="540" w:lineRule="exact"/>
        <w:ind w:firstLine="602"/>
        <w:outlineLvl w:val="0"/>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fldChar w:fldCharType="begin"/>
      </w:r>
      <w:r>
        <w:rPr>
          <w:rFonts w:ascii="仿宋_GB2312" w:eastAsia="仿宋_GB2312" w:hAnsi="仿宋_GB2312" w:cs="仿宋_GB2312" w:hint="eastAsia"/>
          <w:b/>
          <w:bCs/>
          <w:sz w:val="32"/>
          <w:szCs w:val="32"/>
        </w:rPr>
        <w:instrText xml:space="preserve">TOC \o "1-2" \h \u </w:instrText>
      </w:r>
      <w:r>
        <w:rPr>
          <w:rFonts w:ascii="仿宋_GB2312" w:eastAsia="仿宋_GB2312" w:hAnsi="仿宋_GB2312" w:cs="仿宋_GB2312" w:hint="eastAsia"/>
          <w:b/>
          <w:bCs/>
          <w:sz w:val="32"/>
          <w:szCs w:val="32"/>
        </w:rPr>
        <w:fldChar w:fldCharType="separate"/>
      </w:r>
      <w:hyperlink w:anchor="_Toc27697" w:history="1">
        <w:r w:rsidR="0034057B">
          <w:rPr>
            <w:rFonts w:ascii="仿宋_GB2312" w:eastAsia="仿宋_GB2312" w:hAnsi="仿宋_GB2312" w:cs="仿宋_GB2312" w:hint="eastAsia"/>
            <w:sz w:val="32"/>
            <w:szCs w:val="32"/>
          </w:rPr>
          <w:t>一、 竞赛职业和等级</w:t>
        </w:r>
        <w:r w:rsidR="0034057B">
          <w:rPr>
            <w:rFonts w:ascii="仿宋_GB2312" w:eastAsia="仿宋_GB2312" w:hAnsi="仿宋_GB2312" w:cs="仿宋_GB2312" w:hint="eastAsia"/>
            <w:sz w:val="32"/>
            <w:szCs w:val="32"/>
          </w:rPr>
          <w:tab/>
          <w:t>1</w:t>
        </w:r>
      </w:hyperlink>
    </w:p>
    <w:p w14:paraId="5BCAAD0C"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27334" w:history="1">
        <w:r>
          <w:rPr>
            <w:rFonts w:ascii="仿宋_GB2312" w:eastAsia="仿宋_GB2312" w:hAnsi="仿宋_GB2312" w:cs="仿宋_GB2312" w:hint="eastAsia"/>
            <w:sz w:val="32"/>
            <w:szCs w:val="32"/>
          </w:rPr>
          <w:t>二、 技术描述</w:t>
        </w:r>
        <w:r>
          <w:rPr>
            <w:rFonts w:ascii="仿宋_GB2312" w:eastAsia="仿宋_GB2312" w:hAnsi="仿宋_GB2312" w:cs="仿宋_GB2312" w:hint="eastAsia"/>
            <w:sz w:val="32"/>
            <w:szCs w:val="32"/>
          </w:rPr>
          <w:tab/>
          <w:t>1</w:t>
        </w:r>
      </w:hyperlink>
    </w:p>
    <w:p w14:paraId="095D8F50"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6376" w:history="1">
        <w:r>
          <w:rPr>
            <w:rFonts w:ascii="仿宋_GB2312" w:eastAsia="仿宋_GB2312" w:hAnsi="仿宋_GB2312" w:cs="仿宋_GB2312" w:hint="eastAsia"/>
            <w:sz w:val="32"/>
            <w:szCs w:val="32"/>
          </w:rPr>
          <w:t>（一）项目概要</w:t>
        </w:r>
        <w:r>
          <w:rPr>
            <w:rFonts w:ascii="仿宋_GB2312" w:eastAsia="仿宋_GB2312" w:hAnsi="仿宋_GB2312" w:cs="仿宋_GB2312" w:hint="eastAsia"/>
            <w:sz w:val="32"/>
            <w:szCs w:val="32"/>
          </w:rPr>
          <w:tab/>
          <w:t>1</w:t>
        </w:r>
      </w:hyperlink>
    </w:p>
    <w:p w14:paraId="654F9D64"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3058" w:history="1">
        <w:r>
          <w:rPr>
            <w:rFonts w:ascii="仿宋_GB2312" w:eastAsia="仿宋_GB2312" w:hAnsi="仿宋_GB2312" w:cs="仿宋_GB2312" w:hint="eastAsia"/>
            <w:sz w:val="32"/>
            <w:szCs w:val="32"/>
          </w:rPr>
          <w:t>（二）基本知识与能力要求</w:t>
        </w:r>
        <w:r>
          <w:rPr>
            <w:rFonts w:ascii="仿宋_GB2312" w:eastAsia="仿宋_GB2312" w:hAnsi="仿宋_GB2312" w:cs="仿宋_GB2312" w:hint="eastAsia"/>
            <w:sz w:val="32"/>
            <w:szCs w:val="32"/>
          </w:rPr>
          <w:tab/>
          <w:t>2</w:t>
        </w:r>
      </w:hyperlink>
    </w:p>
    <w:p w14:paraId="3A560169"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6233" w:history="1">
        <w:r>
          <w:rPr>
            <w:rFonts w:ascii="仿宋_GB2312" w:eastAsia="仿宋_GB2312" w:hAnsi="仿宋_GB2312" w:cs="仿宋_GB2312" w:hint="eastAsia"/>
            <w:sz w:val="32"/>
            <w:szCs w:val="32"/>
          </w:rPr>
          <w:t>三、 竞赛形式</w:t>
        </w:r>
        <w:r>
          <w:rPr>
            <w:rFonts w:ascii="仿宋_GB2312" w:eastAsia="仿宋_GB2312" w:hAnsi="仿宋_GB2312" w:cs="仿宋_GB2312" w:hint="eastAsia"/>
            <w:sz w:val="32"/>
            <w:szCs w:val="32"/>
          </w:rPr>
          <w:tab/>
          <w:t>2</w:t>
        </w:r>
      </w:hyperlink>
    </w:p>
    <w:p w14:paraId="1080EB32"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7365" w:history="1">
        <w:r>
          <w:rPr>
            <w:rFonts w:ascii="仿宋_GB2312" w:eastAsia="仿宋_GB2312" w:hAnsi="仿宋_GB2312" w:cs="仿宋_GB2312" w:hint="eastAsia"/>
            <w:sz w:val="32"/>
            <w:szCs w:val="32"/>
          </w:rPr>
          <w:t>（一）竞赛形式</w:t>
        </w:r>
        <w:r>
          <w:rPr>
            <w:rFonts w:ascii="仿宋_GB2312" w:eastAsia="仿宋_GB2312" w:hAnsi="仿宋_GB2312" w:cs="仿宋_GB2312" w:hint="eastAsia"/>
            <w:sz w:val="32"/>
            <w:szCs w:val="32"/>
          </w:rPr>
          <w:tab/>
          <w:t>2</w:t>
        </w:r>
      </w:hyperlink>
    </w:p>
    <w:p w14:paraId="3CCB8CAB"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1261" w:history="1">
        <w:r>
          <w:rPr>
            <w:rFonts w:ascii="仿宋_GB2312" w:eastAsia="仿宋_GB2312" w:hAnsi="仿宋_GB2312" w:cs="仿宋_GB2312" w:hint="eastAsia"/>
            <w:sz w:val="32"/>
            <w:szCs w:val="32"/>
          </w:rPr>
          <w:t>（二）竞赛命题</w:t>
        </w:r>
        <w:r>
          <w:rPr>
            <w:rFonts w:ascii="仿宋_GB2312" w:eastAsia="仿宋_GB2312" w:hAnsi="仿宋_GB2312" w:cs="仿宋_GB2312" w:hint="eastAsia"/>
            <w:sz w:val="32"/>
            <w:szCs w:val="32"/>
          </w:rPr>
          <w:tab/>
          <w:t>2</w:t>
        </w:r>
      </w:hyperlink>
    </w:p>
    <w:p w14:paraId="67E05C1A"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9056" w:history="1">
        <w:r>
          <w:rPr>
            <w:rFonts w:ascii="仿宋_GB2312" w:eastAsia="仿宋_GB2312" w:hAnsi="仿宋_GB2312" w:cs="仿宋_GB2312" w:hint="eastAsia"/>
            <w:sz w:val="32"/>
            <w:szCs w:val="32"/>
          </w:rPr>
          <w:t>四、 试题与评判标准</w:t>
        </w:r>
        <w:r>
          <w:rPr>
            <w:rFonts w:ascii="仿宋_GB2312" w:eastAsia="仿宋_GB2312" w:hAnsi="仿宋_GB2312" w:cs="仿宋_GB2312" w:hint="eastAsia"/>
            <w:sz w:val="32"/>
            <w:szCs w:val="32"/>
          </w:rPr>
          <w:tab/>
          <w:t>2</w:t>
        </w:r>
      </w:hyperlink>
    </w:p>
    <w:p w14:paraId="253A4570"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4438" w:history="1">
        <w:r>
          <w:rPr>
            <w:rFonts w:ascii="仿宋_GB2312" w:eastAsia="仿宋_GB2312" w:hAnsi="仿宋_GB2312" w:cs="仿宋_GB2312" w:hint="eastAsia"/>
            <w:sz w:val="32"/>
            <w:szCs w:val="32"/>
          </w:rPr>
          <w:t>（一）理论知识考核</w:t>
        </w:r>
        <w:r>
          <w:rPr>
            <w:rFonts w:ascii="仿宋_GB2312" w:eastAsia="仿宋_GB2312" w:hAnsi="仿宋_GB2312" w:cs="仿宋_GB2312" w:hint="eastAsia"/>
            <w:sz w:val="32"/>
            <w:szCs w:val="32"/>
          </w:rPr>
          <w:tab/>
          <w:t>2</w:t>
        </w:r>
      </w:hyperlink>
    </w:p>
    <w:p w14:paraId="4786940E"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3511" w:history="1">
        <w:r>
          <w:rPr>
            <w:rFonts w:ascii="仿宋_GB2312" w:eastAsia="仿宋_GB2312" w:hAnsi="仿宋_GB2312" w:cs="仿宋_GB2312" w:hint="eastAsia"/>
            <w:sz w:val="32"/>
            <w:szCs w:val="32"/>
          </w:rPr>
          <w:t>（二）实操考核</w:t>
        </w:r>
        <w:r>
          <w:rPr>
            <w:rFonts w:ascii="仿宋_GB2312" w:eastAsia="仿宋_GB2312" w:hAnsi="仿宋_GB2312" w:cs="仿宋_GB2312" w:hint="eastAsia"/>
            <w:sz w:val="32"/>
            <w:szCs w:val="32"/>
          </w:rPr>
          <w:tab/>
          <w:t>3</w:t>
        </w:r>
      </w:hyperlink>
    </w:p>
    <w:p w14:paraId="10EACA09"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4153" w:history="1">
        <w:r>
          <w:rPr>
            <w:rFonts w:ascii="仿宋_GB2312" w:eastAsia="仿宋_GB2312" w:hAnsi="仿宋_GB2312" w:cs="仿宋_GB2312" w:hint="eastAsia"/>
            <w:sz w:val="32"/>
            <w:szCs w:val="32"/>
          </w:rPr>
          <w:t>（三）竞赛时间及试题</w:t>
        </w:r>
        <w:r>
          <w:rPr>
            <w:rFonts w:ascii="仿宋_GB2312" w:eastAsia="仿宋_GB2312" w:hAnsi="仿宋_GB2312" w:cs="仿宋_GB2312" w:hint="eastAsia"/>
            <w:sz w:val="32"/>
            <w:szCs w:val="32"/>
          </w:rPr>
          <w:tab/>
          <w:t>4</w:t>
        </w:r>
      </w:hyperlink>
    </w:p>
    <w:p w14:paraId="1A5572CB"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4470" w:history="1">
        <w:r>
          <w:rPr>
            <w:rFonts w:ascii="仿宋_GB2312" w:eastAsia="仿宋_GB2312" w:hAnsi="仿宋_GB2312" w:cs="仿宋_GB2312" w:hint="eastAsia"/>
            <w:sz w:val="32"/>
            <w:szCs w:val="32"/>
          </w:rPr>
          <w:t>（四）评判标准</w:t>
        </w:r>
        <w:r>
          <w:rPr>
            <w:rFonts w:ascii="仿宋_GB2312" w:eastAsia="仿宋_GB2312" w:hAnsi="仿宋_GB2312" w:cs="仿宋_GB2312" w:hint="eastAsia"/>
            <w:sz w:val="32"/>
            <w:szCs w:val="32"/>
          </w:rPr>
          <w:tab/>
          <w:t>4</w:t>
        </w:r>
      </w:hyperlink>
    </w:p>
    <w:p w14:paraId="5B21A013"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9092" w:history="1">
        <w:r>
          <w:rPr>
            <w:rFonts w:ascii="仿宋_GB2312" w:eastAsia="仿宋_GB2312" w:hAnsi="仿宋_GB2312" w:cs="仿宋_GB2312" w:hint="eastAsia"/>
            <w:sz w:val="32"/>
            <w:szCs w:val="32"/>
          </w:rPr>
          <w:t>五、 评分流程及考核细则</w:t>
        </w:r>
        <w:r>
          <w:rPr>
            <w:rFonts w:ascii="仿宋_GB2312" w:eastAsia="仿宋_GB2312" w:hAnsi="仿宋_GB2312" w:cs="仿宋_GB2312" w:hint="eastAsia"/>
            <w:sz w:val="32"/>
            <w:szCs w:val="32"/>
          </w:rPr>
          <w:tab/>
          <w:t>5</w:t>
        </w:r>
      </w:hyperlink>
    </w:p>
    <w:p w14:paraId="3406D9EF"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23517" w:history="1">
        <w:r>
          <w:rPr>
            <w:rFonts w:ascii="仿宋_GB2312" w:eastAsia="仿宋_GB2312" w:hAnsi="仿宋_GB2312" w:cs="仿宋_GB2312" w:hint="eastAsia"/>
            <w:sz w:val="32"/>
            <w:szCs w:val="32"/>
          </w:rPr>
          <w:t>六、 申诉与仲裁</w:t>
        </w:r>
        <w:r>
          <w:rPr>
            <w:rFonts w:ascii="仿宋_GB2312" w:eastAsia="仿宋_GB2312" w:hAnsi="仿宋_GB2312" w:cs="仿宋_GB2312" w:hint="eastAsia"/>
            <w:sz w:val="32"/>
            <w:szCs w:val="32"/>
          </w:rPr>
          <w:tab/>
          <w:t>5</w:t>
        </w:r>
      </w:hyperlink>
    </w:p>
    <w:p w14:paraId="05E38849"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21818" w:history="1">
        <w:r>
          <w:rPr>
            <w:rFonts w:ascii="仿宋_GB2312" w:eastAsia="仿宋_GB2312" w:hAnsi="仿宋_GB2312" w:cs="仿宋_GB2312" w:hint="eastAsia"/>
            <w:sz w:val="32"/>
            <w:szCs w:val="32"/>
          </w:rPr>
          <w:t>七、 竞赛场地、设施设备安排</w:t>
        </w:r>
        <w:r>
          <w:rPr>
            <w:rFonts w:ascii="仿宋_GB2312" w:eastAsia="仿宋_GB2312" w:hAnsi="仿宋_GB2312" w:cs="仿宋_GB2312" w:hint="eastAsia"/>
            <w:sz w:val="32"/>
            <w:szCs w:val="32"/>
          </w:rPr>
          <w:tab/>
          <w:t>5</w:t>
        </w:r>
      </w:hyperlink>
    </w:p>
    <w:p w14:paraId="04EFFF90"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30748" w:history="1">
        <w:r>
          <w:rPr>
            <w:rFonts w:ascii="仿宋_GB2312" w:eastAsia="仿宋_GB2312" w:hAnsi="仿宋_GB2312" w:cs="仿宋_GB2312" w:hint="eastAsia"/>
            <w:sz w:val="32"/>
            <w:szCs w:val="32"/>
          </w:rPr>
          <w:t>（一）赛场规格要求</w:t>
        </w:r>
        <w:r>
          <w:rPr>
            <w:rFonts w:ascii="仿宋_GB2312" w:eastAsia="仿宋_GB2312" w:hAnsi="仿宋_GB2312" w:cs="仿宋_GB2312" w:hint="eastAsia"/>
            <w:sz w:val="32"/>
            <w:szCs w:val="32"/>
          </w:rPr>
          <w:tab/>
          <w:t>5</w:t>
        </w:r>
      </w:hyperlink>
    </w:p>
    <w:p w14:paraId="062BDCC8"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16379" w:history="1">
        <w:r>
          <w:rPr>
            <w:rFonts w:ascii="仿宋_GB2312" w:eastAsia="仿宋_GB2312" w:hAnsi="仿宋_GB2312" w:cs="仿宋_GB2312" w:hint="eastAsia"/>
            <w:sz w:val="32"/>
            <w:szCs w:val="32"/>
          </w:rPr>
          <w:t>（二）场地布局图</w:t>
        </w:r>
        <w:r>
          <w:rPr>
            <w:rFonts w:ascii="仿宋_GB2312" w:eastAsia="仿宋_GB2312" w:hAnsi="仿宋_GB2312" w:cs="仿宋_GB2312" w:hint="eastAsia"/>
            <w:sz w:val="32"/>
            <w:szCs w:val="32"/>
          </w:rPr>
          <w:tab/>
          <w:t>6</w:t>
        </w:r>
      </w:hyperlink>
    </w:p>
    <w:p w14:paraId="5BC1913D"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32378" w:history="1">
        <w:r>
          <w:rPr>
            <w:rFonts w:ascii="仿宋_GB2312" w:eastAsia="仿宋_GB2312" w:hAnsi="仿宋_GB2312" w:cs="仿宋_GB2312" w:hint="eastAsia"/>
            <w:sz w:val="32"/>
            <w:szCs w:val="32"/>
          </w:rPr>
          <w:t>（三）基础设施清单</w:t>
        </w:r>
        <w:r>
          <w:rPr>
            <w:rFonts w:ascii="仿宋_GB2312" w:eastAsia="仿宋_GB2312" w:hAnsi="仿宋_GB2312" w:cs="仿宋_GB2312" w:hint="eastAsia"/>
            <w:sz w:val="32"/>
            <w:szCs w:val="32"/>
          </w:rPr>
          <w:tab/>
          <w:t>7</w:t>
        </w:r>
      </w:hyperlink>
    </w:p>
    <w:p w14:paraId="2BEDADEC"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18837" w:history="1">
        <w:r>
          <w:rPr>
            <w:rFonts w:ascii="仿宋_GB2312" w:eastAsia="仿宋_GB2312" w:hAnsi="仿宋_GB2312" w:cs="仿宋_GB2312" w:hint="eastAsia"/>
            <w:sz w:val="32"/>
            <w:szCs w:val="32"/>
          </w:rPr>
          <w:t>八、 工具材料安排及清单</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0</w:t>
      </w:r>
    </w:p>
    <w:p w14:paraId="58360BA1"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14765" w:history="1">
        <w:r>
          <w:rPr>
            <w:rFonts w:ascii="仿宋_GB2312" w:eastAsia="仿宋_GB2312" w:hAnsi="仿宋_GB2312" w:cs="仿宋_GB2312" w:hint="eastAsia"/>
            <w:sz w:val="32"/>
            <w:szCs w:val="32"/>
          </w:rPr>
          <w:t>九、 项目特殊说明</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0</w:t>
      </w:r>
    </w:p>
    <w:p w14:paraId="2C68F19C"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1434" w:history="1">
        <w:r>
          <w:rPr>
            <w:rFonts w:ascii="仿宋_GB2312" w:eastAsia="仿宋_GB2312" w:hAnsi="仿宋_GB2312" w:cs="仿宋_GB2312" w:hint="eastAsia"/>
            <w:sz w:val="32"/>
            <w:szCs w:val="32"/>
          </w:rPr>
          <w:t>（一）赛场纪律</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0</w:t>
      </w:r>
    </w:p>
    <w:p w14:paraId="5109CA82"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3528" w:history="1">
        <w:r>
          <w:rPr>
            <w:rFonts w:ascii="仿宋_GB2312" w:eastAsia="仿宋_GB2312" w:hAnsi="仿宋_GB2312" w:cs="仿宋_GB2312" w:hint="eastAsia"/>
            <w:sz w:val="32"/>
            <w:szCs w:val="32"/>
          </w:rPr>
          <w:t>（二）异常情况处理说明</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1</w:t>
      </w:r>
    </w:p>
    <w:p w14:paraId="7FAAB916" w14:textId="77777777" w:rsidR="0034057B" w:rsidRDefault="0034057B" w:rsidP="00CD165C">
      <w:pPr>
        <w:pStyle w:val="TOC1"/>
        <w:tabs>
          <w:tab w:val="right" w:leader="dot" w:pos="8845"/>
        </w:tabs>
        <w:spacing w:afterLines="0" w:after="0" w:line="540" w:lineRule="exact"/>
        <w:ind w:firstLine="640"/>
        <w:rPr>
          <w:rFonts w:ascii="仿宋_GB2312" w:eastAsia="仿宋_GB2312" w:hAnsi="仿宋_GB2312" w:cs="仿宋_GB2312" w:hint="eastAsia"/>
          <w:sz w:val="32"/>
          <w:szCs w:val="32"/>
        </w:rPr>
        <w:sectPr w:rsidR="0034057B">
          <w:footerReference w:type="default" r:id="rId15"/>
          <w:pgSz w:w="12240" w:h="15840"/>
          <w:pgMar w:top="1440" w:right="1797" w:bottom="1440" w:left="1797" w:header="720" w:footer="720" w:gutter="0"/>
          <w:pgNumType w:start="1"/>
          <w:cols w:space="720"/>
          <w:docGrid w:linePitch="360"/>
        </w:sectPr>
      </w:pPr>
    </w:p>
    <w:p w14:paraId="538B755B" w14:textId="77777777" w:rsidR="0034057B" w:rsidRDefault="0034057B" w:rsidP="00CD165C">
      <w:pPr>
        <w:pStyle w:val="TOC1"/>
        <w:tabs>
          <w:tab w:val="right" w:leader="dot" w:pos="8845"/>
        </w:tabs>
        <w:spacing w:afterLines="0" w:after="0" w:line="540" w:lineRule="exact"/>
        <w:ind w:firstLine="640"/>
        <w:outlineLvl w:val="0"/>
        <w:rPr>
          <w:rFonts w:ascii="仿宋_GB2312" w:eastAsia="仿宋_GB2312" w:hAnsi="仿宋_GB2312" w:cs="仿宋_GB2312" w:hint="eastAsia"/>
          <w:sz w:val="32"/>
          <w:szCs w:val="32"/>
        </w:rPr>
      </w:pPr>
      <w:hyperlink w:anchor="_Toc16048" w:history="1">
        <w:r>
          <w:rPr>
            <w:rFonts w:ascii="仿宋_GB2312" w:eastAsia="仿宋_GB2312" w:hAnsi="仿宋_GB2312" w:cs="仿宋_GB2312" w:hint="eastAsia"/>
            <w:sz w:val="32"/>
            <w:szCs w:val="32"/>
          </w:rPr>
          <w:t>十、 安全办赛要求</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2</w:t>
      </w:r>
    </w:p>
    <w:p w14:paraId="28220159"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sz w:val="32"/>
          <w:szCs w:val="32"/>
        </w:rPr>
      </w:pPr>
      <w:hyperlink w:anchor="_Toc26990" w:history="1">
        <w:r>
          <w:rPr>
            <w:rFonts w:ascii="仿宋_GB2312" w:eastAsia="仿宋_GB2312" w:hAnsi="仿宋_GB2312" w:cs="仿宋_GB2312" w:hint="eastAsia"/>
            <w:sz w:val="32"/>
            <w:szCs w:val="32"/>
          </w:rPr>
          <w:t>（一）选手安全防护要求</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3</w:t>
      </w:r>
    </w:p>
    <w:p w14:paraId="3B9A6C47" w14:textId="77777777" w:rsidR="0034057B" w:rsidRDefault="0034057B" w:rsidP="00CD165C">
      <w:pPr>
        <w:pStyle w:val="TOC2"/>
        <w:tabs>
          <w:tab w:val="right" w:leader="dot" w:pos="8845"/>
        </w:tabs>
        <w:spacing w:afterLines="0" w:after="0" w:line="540" w:lineRule="exact"/>
        <w:ind w:leftChars="0" w:left="0" w:firstLine="640"/>
        <w:outlineLvl w:val="1"/>
        <w:rPr>
          <w:rFonts w:ascii="仿宋_GB2312" w:eastAsia="仿宋_GB2312" w:hAnsi="仿宋_GB2312" w:cs="仿宋_GB2312" w:hint="eastAsia"/>
          <w:bCs/>
          <w:sz w:val="32"/>
          <w:szCs w:val="32"/>
        </w:rPr>
      </w:pPr>
      <w:hyperlink w:anchor="_Toc9059" w:history="1">
        <w:r>
          <w:rPr>
            <w:rFonts w:ascii="仿宋_GB2312" w:eastAsia="仿宋_GB2312" w:hAnsi="仿宋_GB2312" w:cs="仿宋_GB2312" w:hint="eastAsia"/>
            <w:sz w:val="32"/>
            <w:szCs w:val="32"/>
          </w:rPr>
          <w:t>（二）赛事安全要求</w:t>
        </w:r>
        <w:r>
          <w:rPr>
            <w:rFonts w:ascii="仿宋_GB2312" w:eastAsia="仿宋_GB2312" w:hAnsi="仿宋_GB2312" w:cs="仿宋_GB2312" w:hint="eastAsia"/>
            <w:sz w:val="32"/>
            <w:szCs w:val="32"/>
          </w:rPr>
          <w:tab/>
          <w:t>1</w:t>
        </w:r>
      </w:hyperlink>
      <w:r w:rsidR="00000000">
        <w:rPr>
          <w:rFonts w:ascii="仿宋_GB2312" w:eastAsia="仿宋_GB2312" w:hAnsi="仿宋_GB2312" w:cs="仿宋_GB2312" w:hint="eastAsia"/>
          <w:sz w:val="32"/>
          <w:szCs w:val="32"/>
        </w:rPr>
        <w:t>3</w:t>
      </w:r>
    </w:p>
    <w:p w14:paraId="2E38BB6F" w14:textId="77777777" w:rsidR="0034057B" w:rsidRDefault="0034057B" w:rsidP="00CD165C">
      <w:pPr>
        <w:spacing w:afterLines="0" w:after="0" w:line="540" w:lineRule="exact"/>
        <w:rPr>
          <w:rFonts w:ascii="仿宋_GB2312" w:eastAsia="仿宋_GB2312" w:hAnsi="仿宋_GB2312" w:cs="仿宋_GB2312" w:hint="eastAsia"/>
          <w:bCs/>
          <w:sz w:val="32"/>
          <w:szCs w:val="32"/>
        </w:rPr>
        <w:sectPr w:rsidR="0034057B">
          <w:footerReference w:type="default" r:id="rId16"/>
          <w:pgSz w:w="12240" w:h="15840"/>
          <w:pgMar w:top="1440" w:right="1797" w:bottom="1440" w:left="1797" w:header="720" w:footer="720" w:gutter="0"/>
          <w:pgNumType w:start="1"/>
          <w:cols w:space="720"/>
          <w:docGrid w:linePitch="360"/>
        </w:sectPr>
      </w:pPr>
    </w:p>
    <w:p w14:paraId="517B4A6B" w14:textId="77777777" w:rsidR="0034057B" w:rsidRDefault="00000000" w:rsidP="00CD165C">
      <w:pPr>
        <w:spacing w:afterLines="0" w:after="0" w:line="540" w:lineRule="exact"/>
        <w:ind w:firstLineChars="200" w:firstLine="640"/>
        <w:rPr>
          <w:sz w:val="32"/>
          <w:szCs w:val="32"/>
        </w:rPr>
      </w:pPr>
      <w:r>
        <w:rPr>
          <w:rFonts w:ascii="仿宋_GB2312" w:eastAsia="仿宋_GB2312" w:hAnsi="仿宋_GB2312" w:cs="仿宋_GB2312" w:hint="eastAsia"/>
          <w:bCs/>
          <w:sz w:val="32"/>
          <w:szCs w:val="32"/>
        </w:rPr>
        <w:lastRenderedPageBreak/>
        <w:fldChar w:fldCharType="end"/>
      </w:r>
      <w:r>
        <w:rPr>
          <w:rFonts w:ascii="黑体" w:eastAsia="黑体" w:hAnsi="黑体"/>
          <w:b/>
          <w:color w:val="000000"/>
          <w:sz w:val="32"/>
          <w:szCs w:val="32"/>
        </w:rPr>
        <w:t>一、竞赛职业和等级</w:t>
      </w:r>
    </w:p>
    <w:p w14:paraId="01E2D473"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信息通信网络机务员（传输机务员）。</w:t>
      </w:r>
    </w:p>
    <w:p w14:paraId="75FCF0A1"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本竞赛基于《信息通信网络机务员国家职业技能标准（2019年版）》中高级工及以上职业技能等级相应标准，同时结合企业岗位实际需求和相关专业技术发展情况制定考核标准。</w:t>
      </w:r>
    </w:p>
    <w:p w14:paraId="03A83AD1" w14:textId="77777777" w:rsidR="0034057B" w:rsidRDefault="00000000" w:rsidP="00CD165C">
      <w:pPr>
        <w:spacing w:afterLines="0" w:after="0" w:line="540" w:lineRule="exact"/>
        <w:ind w:firstLineChars="200" w:firstLine="643"/>
        <w:rPr>
          <w:sz w:val="32"/>
          <w:szCs w:val="32"/>
        </w:rPr>
      </w:pPr>
      <w:r>
        <w:rPr>
          <w:rFonts w:ascii="黑体" w:eastAsia="黑体" w:hAnsi="黑体"/>
          <w:b/>
          <w:color w:val="000000"/>
          <w:sz w:val="32"/>
          <w:szCs w:val="32"/>
        </w:rPr>
        <w:t>二、技术描述</w:t>
      </w:r>
    </w:p>
    <w:p w14:paraId="67E524BD" w14:textId="77777777" w:rsidR="0034057B" w:rsidRPr="00CD165C" w:rsidRDefault="00000000" w:rsidP="00CD165C">
      <w:pPr>
        <w:spacing w:afterLines="0" w:after="0" w:line="540" w:lineRule="exact"/>
        <w:ind w:firstLineChars="200" w:firstLine="640"/>
        <w:rPr>
          <w:rFonts w:ascii="楷体" w:eastAsia="楷体" w:hAnsi="楷体" w:cs="楷体" w:hint="eastAsia"/>
          <w:bCs/>
          <w:sz w:val="32"/>
          <w:szCs w:val="32"/>
        </w:rPr>
      </w:pPr>
      <w:r w:rsidRPr="00CD165C">
        <w:rPr>
          <w:rFonts w:ascii="楷体" w:eastAsia="楷体" w:hAnsi="楷体" w:cs="楷体" w:hint="eastAsia"/>
          <w:bCs/>
          <w:color w:val="000000"/>
          <w:sz w:val="32"/>
          <w:szCs w:val="32"/>
        </w:rPr>
        <w:t>（一）项目概要</w:t>
      </w:r>
    </w:p>
    <w:p w14:paraId="5CBF4512"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立足安徽省千兆光网建设、智慧城域网升级的行业发展部署，贴合全省光宽带网络运维、传输网络保障、智慧业务开通的岗位发展需求，为规范信息通信传输行业从业标准，提升一线从业人员城域网部署、业务开通、故障排查等核心服务能力，补齐全省传输网络运维领域高技能人才缺口，衔接省内职业院校相关专业人才培养标准与行业岗位要求，特组织开展本竞赛项目。</w:t>
      </w:r>
    </w:p>
    <w:p w14:paraId="30C99849"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本赛项坚持“政府主导、行业指导、企业参与、服务赋能”的原则，聚焦安徽省信息通信传输网络运维主营业务，立足通信运营商、网络技术服务企业、政企运维服务岗位真实需求，深度对标国家职业技能标准及省内通信行业规范。赛项以提升从业人员岗位服务素养、实操服务能力、标准化运维水平为核心导向，以智慧城域网业务开通、故障排除等真实业务场景为考核重点，切实实现以赛促学、以赛促训、以赛促教、以赛促建的发展目标，全面完善安徽省传输网络运维领域高技能人才培养、评价、选拔体系。</w:t>
      </w:r>
    </w:p>
    <w:p w14:paraId="40E3ECB4"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（二）基本知识与能力要求</w:t>
      </w:r>
    </w:p>
    <w:p w14:paraId="02FC9A79"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lastRenderedPageBreak/>
        <w:t>本赛项以智慧城域网业务部署、故障排查与运维保障为核心内容，基于真实城域网运维工作场景，根据工作任务书完成业务开通部署、故障排查处理、网络调试优化等全流程工作任务。竞赛内容通过理论知识考核、技能实操表现衡量选手对信息通信网络机务员相关知识及技术技能的掌握情况。</w:t>
      </w:r>
    </w:p>
    <w:p w14:paraId="2FBEC8B5" w14:textId="77777777" w:rsidR="0034057B" w:rsidRDefault="00000000" w:rsidP="00CD165C">
      <w:pPr>
        <w:spacing w:afterLines="0" w:after="0" w:line="540" w:lineRule="exact"/>
        <w:ind w:firstLineChars="200" w:firstLine="643"/>
        <w:rPr>
          <w:sz w:val="32"/>
          <w:szCs w:val="32"/>
        </w:rPr>
      </w:pPr>
      <w:r>
        <w:rPr>
          <w:rFonts w:ascii="黑体" w:eastAsia="黑体" w:hAnsi="黑体"/>
          <w:b/>
          <w:color w:val="000000"/>
          <w:sz w:val="32"/>
          <w:szCs w:val="32"/>
        </w:rPr>
        <w:t>三、竞赛形式</w:t>
      </w:r>
    </w:p>
    <w:p w14:paraId="45269CCD"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（一）竞赛形式</w:t>
      </w:r>
    </w:p>
    <w:p w14:paraId="755A352B"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本次竞赛各组别均为单人赛，分为职工组和学生组。竞赛内容由理论知识考核和实操考核两部分组成，总成绩为100分，其中理论知识考核成绩占20%，实操考核成绩占80%。</w:t>
      </w:r>
    </w:p>
    <w:p w14:paraId="20B6A484"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（二）竞赛命题</w:t>
      </w:r>
    </w:p>
    <w:p w14:paraId="19D21307"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竞赛试题由竞赛组委会组织专家组命制，在竞赛前保密。</w:t>
      </w:r>
    </w:p>
    <w:p w14:paraId="2B30BA6D"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四、试题与评判标准</w:t>
      </w:r>
    </w:p>
    <w:p w14:paraId="076CBAFF"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（一）理论知识考核</w:t>
      </w:r>
    </w:p>
    <w:p w14:paraId="714E827B" w14:textId="77777777" w:rsidR="0034057B" w:rsidRDefault="00000000" w:rsidP="00CD165C">
      <w:pPr>
        <w:spacing w:afterLines="0"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rPr>
        <w:t>考核内容：主要包括光宽带网络基础知识（城域网架构、协议栈、以太网交换原理、IP路由原理、PON原理、WLAN原理、OTN原理），以及智慧城域网业务流程及协议原理（BRAS和AAA原理、VoIP协议原理、组播原理、IPTV业务系统、宽带上网流程、VoIP呼叫流程、IPTV业务流程）等知识。</w:t>
      </w:r>
    </w:p>
    <w:p w14:paraId="6BF08B36"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考核题型：完全由客观题组成，含单选题、判断题和多选题，分值为100分，占总成绩权重20%。</w:t>
      </w:r>
    </w:p>
    <w:p w14:paraId="0619916E"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考核方式：采用计算机软件答题。</w:t>
      </w:r>
    </w:p>
    <w:p w14:paraId="1DECD15A"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（二）实操考核</w:t>
      </w:r>
    </w:p>
    <w:p w14:paraId="21281980"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考核内容：实操考核涵盖智慧城域网业务开通部署、智慧</w:t>
      </w:r>
      <w:r>
        <w:rPr>
          <w:rFonts w:ascii="仿宋_GB2312" w:eastAsia="仿宋_GB2312" w:hAnsi="仿宋_GB2312" w:cs="仿宋_GB2312" w:hint="eastAsia"/>
          <w:color w:val="000000"/>
          <w:sz w:val="32"/>
          <w:szCs w:val="32"/>
        </w:rPr>
        <w:lastRenderedPageBreak/>
        <w:t>城域网故障排除等。根据竞赛现场下发的赛题任务书要求，完成对应工作任务。安全文明生产在实际操作比赛过程中进行考查，不再单独命题。</w:t>
      </w:r>
    </w:p>
    <w:p w14:paraId="1A6718FF"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选手在虚拟仿真系统中根据任务书要求完成指定考核模块工作任务，各考核模块主要知识技能点及参考分值分布如下：</w:t>
      </w:r>
    </w:p>
    <w:tbl>
      <w:tblPr>
        <w:tblStyle w:val="afd"/>
        <w:tblW w:w="8429" w:type="dxa"/>
        <w:jc w:val="center"/>
        <w:tblLayout w:type="fixed"/>
        <w:tblLook w:val="04A0" w:firstRow="1" w:lastRow="0" w:firstColumn="1" w:lastColumn="0" w:noHBand="0" w:noVBand="1"/>
      </w:tblPr>
      <w:tblGrid>
        <w:gridCol w:w="2547"/>
        <w:gridCol w:w="4240"/>
        <w:gridCol w:w="1642"/>
      </w:tblGrid>
      <w:tr w:rsidR="0034057B" w14:paraId="294086B6" w14:textId="77777777">
        <w:trPr>
          <w:jc w:val="center"/>
        </w:trPr>
        <w:tc>
          <w:tcPr>
            <w:tcW w:w="2547" w:type="dxa"/>
          </w:tcPr>
          <w:p w14:paraId="0036ABC8" w14:textId="77777777" w:rsidR="0034057B" w:rsidRDefault="00000000" w:rsidP="00CD165C">
            <w:pPr>
              <w:spacing w:afterLines="0" w:after="0" w:line="540" w:lineRule="exact"/>
              <w:ind w:firstLine="42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竞赛模块</w:t>
            </w:r>
          </w:p>
        </w:tc>
        <w:tc>
          <w:tcPr>
            <w:tcW w:w="4240" w:type="dxa"/>
          </w:tcPr>
          <w:p w14:paraId="4C68D386"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主要知识技能点</w:t>
            </w:r>
          </w:p>
        </w:tc>
        <w:tc>
          <w:tcPr>
            <w:tcW w:w="1642" w:type="dxa"/>
          </w:tcPr>
          <w:p w14:paraId="6C879A8A"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参考分值</w:t>
            </w:r>
          </w:p>
        </w:tc>
      </w:tr>
      <w:tr w:rsidR="000057D9" w14:paraId="3CC666FE" w14:textId="77777777">
        <w:trPr>
          <w:jc w:val="center"/>
        </w:trPr>
        <w:tc>
          <w:tcPr>
            <w:tcW w:w="2547" w:type="dxa"/>
            <w:vMerge w:val="restart"/>
            <w:vAlign w:val="center"/>
          </w:tcPr>
          <w:p w14:paraId="2B7CC138" w14:textId="5EEAD2A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智慧城域网业务开通部署</w:t>
            </w:r>
            <w:r w:rsidRPr="000057D9">
              <w:rPr>
                <w:rFonts w:ascii="仿宋_GB2312" w:eastAsia="仿宋_GB2312" w:hAnsi="仿宋_GB2312" w:cs="仿宋_GB2312" w:hint="eastAsia"/>
                <w:color w:val="000000"/>
                <w:sz w:val="32"/>
                <w:szCs w:val="32"/>
              </w:rPr>
              <w:t>（40%）</w:t>
            </w:r>
          </w:p>
        </w:tc>
        <w:tc>
          <w:tcPr>
            <w:tcW w:w="4240" w:type="dxa"/>
            <w:vAlign w:val="center"/>
          </w:tcPr>
          <w:p w14:paraId="6C0D57A9"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Server和业务机房设备部署与数据配置</w:t>
            </w:r>
          </w:p>
        </w:tc>
        <w:tc>
          <w:tcPr>
            <w:tcW w:w="1642" w:type="dxa"/>
            <w:vAlign w:val="center"/>
          </w:tcPr>
          <w:p w14:paraId="56E8D1D3"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10</w:t>
            </w:r>
          </w:p>
        </w:tc>
      </w:tr>
      <w:tr w:rsidR="000057D9" w14:paraId="5473AFF2" w14:textId="77777777">
        <w:trPr>
          <w:jc w:val="center"/>
        </w:trPr>
        <w:tc>
          <w:tcPr>
            <w:tcW w:w="2547" w:type="dxa"/>
            <w:vMerge/>
            <w:vAlign w:val="center"/>
          </w:tcPr>
          <w:p w14:paraId="2269E1DC"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530A889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承载网设备部署与数据配置</w:t>
            </w:r>
          </w:p>
        </w:tc>
        <w:tc>
          <w:tcPr>
            <w:tcW w:w="1642" w:type="dxa"/>
            <w:vAlign w:val="center"/>
          </w:tcPr>
          <w:p w14:paraId="5627EB1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10</w:t>
            </w:r>
          </w:p>
        </w:tc>
      </w:tr>
      <w:tr w:rsidR="000057D9" w14:paraId="7E85BC7D" w14:textId="77777777">
        <w:trPr>
          <w:jc w:val="center"/>
        </w:trPr>
        <w:tc>
          <w:tcPr>
            <w:tcW w:w="2547" w:type="dxa"/>
            <w:vMerge/>
            <w:vAlign w:val="center"/>
          </w:tcPr>
          <w:p w14:paraId="7531ACC7"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0DBE54A5"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宽带上网业务设备部署调试</w:t>
            </w:r>
          </w:p>
        </w:tc>
        <w:tc>
          <w:tcPr>
            <w:tcW w:w="1642" w:type="dxa"/>
            <w:vAlign w:val="center"/>
          </w:tcPr>
          <w:p w14:paraId="59C1E547"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8</w:t>
            </w:r>
          </w:p>
        </w:tc>
      </w:tr>
      <w:tr w:rsidR="000057D9" w14:paraId="427FFBFB" w14:textId="77777777">
        <w:trPr>
          <w:jc w:val="center"/>
        </w:trPr>
        <w:tc>
          <w:tcPr>
            <w:tcW w:w="2547" w:type="dxa"/>
            <w:vMerge/>
            <w:vAlign w:val="center"/>
          </w:tcPr>
          <w:p w14:paraId="6B9D1699"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0478C9EC"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VoIP业务部署调试</w:t>
            </w:r>
          </w:p>
        </w:tc>
        <w:tc>
          <w:tcPr>
            <w:tcW w:w="1642" w:type="dxa"/>
            <w:vAlign w:val="center"/>
          </w:tcPr>
          <w:p w14:paraId="28E70A39"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w:t>
            </w:r>
          </w:p>
        </w:tc>
      </w:tr>
      <w:tr w:rsidR="000057D9" w14:paraId="7E655C0A" w14:textId="77777777">
        <w:trPr>
          <w:jc w:val="center"/>
        </w:trPr>
        <w:tc>
          <w:tcPr>
            <w:tcW w:w="2547" w:type="dxa"/>
            <w:vMerge/>
            <w:vAlign w:val="center"/>
          </w:tcPr>
          <w:p w14:paraId="42F2ACC4"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72DABA36"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IPTV业务部署调试</w:t>
            </w:r>
          </w:p>
        </w:tc>
        <w:tc>
          <w:tcPr>
            <w:tcW w:w="1642" w:type="dxa"/>
            <w:vAlign w:val="center"/>
          </w:tcPr>
          <w:p w14:paraId="4C268FB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w:t>
            </w:r>
          </w:p>
        </w:tc>
      </w:tr>
      <w:tr w:rsidR="000057D9" w14:paraId="78C41C20" w14:textId="77777777">
        <w:trPr>
          <w:jc w:val="center"/>
        </w:trPr>
        <w:tc>
          <w:tcPr>
            <w:tcW w:w="2547" w:type="dxa"/>
            <w:vMerge w:val="restart"/>
            <w:vAlign w:val="center"/>
          </w:tcPr>
          <w:p w14:paraId="1188DAAE" w14:textId="6F3893EE"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智慧城域网故障排除</w:t>
            </w:r>
            <w:r w:rsidRPr="000057D9">
              <w:rPr>
                <w:rFonts w:ascii="仿宋_GB2312" w:eastAsia="仿宋_GB2312" w:hAnsi="仿宋_GB2312" w:cs="仿宋_GB2312" w:hint="eastAsia"/>
                <w:color w:val="000000"/>
                <w:sz w:val="32"/>
                <w:szCs w:val="32"/>
              </w:rPr>
              <w:t>（60%）</w:t>
            </w:r>
          </w:p>
        </w:tc>
        <w:tc>
          <w:tcPr>
            <w:tcW w:w="4240" w:type="dxa"/>
            <w:vAlign w:val="center"/>
          </w:tcPr>
          <w:p w14:paraId="4A3A002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有线宽带上网业务故障排除</w:t>
            </w:r>
          </w:p>
        </w:tc>
        <w:tc>
          <w:tcPr>
            <w:tcW w:w="1642" w:type="dxa"/>
            <w:vAlign w:val="center"/>
          </w:tcPr>
          <w:p w14:paraId="2E25BCA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12</w:t>
            </w:r>
          </w:p>
        </w:tc>
      </w:tr>
      <w:tr w:rsidR="000057D9" w14:paraId="0D1660E2" w14:textId="77777777">
        <w:trPr>
          <w:jc w:val="center"/>
        </w:trPr>
        <w:tc>
          <w:tcPr>
            <w:tcW w:w="2547" w:type="dxa"/>
            <w:vMerge/>
            <w:vAlign w:val="center"/>
          </w:tcPr>
          <w:p w14:paraId="1677EB51"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118B474A"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WLAN业务故障排除</w:t>
            </w:r>
          </w:p>
        </w:tc>
        <w:tc>
          <w:tcPr>
            <w:tcW w:w="1642" w:type="dxa"/>
            <w:vAlign w:val="center"/>
          </w:tcPr>
          <w:p w14:paraId="273A9297"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12</w:t>
            </w:r>
          </w:p>
        </w:tc>
      </w:tr>
      <w:tr w:rsidR="000057D9" w14:paraId="1E081FA4" w14:textId="77777777">
        <w:trPr>
          <w:jc w:val="center"/>
        </w:trPr>
        <w:tc>
          <w:tcPr>
            <w:tcW w:w="2547" w:type="dxa"/>
            <w:vMerge/>
            <w:vAlign w:val="center"/>
          </w:tcPr>
          <w:p w14:paraId="2E8F7028"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4FCE6EE5"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VoIP业务故障排除</w:t>
            </w:r>
          </w:p>
        </w:tc>
        <w:tc>
          <w:tcPr>
            <w:tcW w:w="1642" w:type="dxa"/>
            <w:vAlign w:val="center"/>
          </w:tcPr>
          <w:p w14:paraId="3D812228"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12</w:t>
            </w:r>
          </w:p>
        </w:tc>
      </w:tr>
      <w:tr w:rsidR="000057D9" w14:paraId="5B975502" w14:textId="77777777">
        <w:trPr>
          <w:jc w:val="center"/>
        </w:trPr>
        <w:tc>
          <w:tcPr>
            <w:tcW w:w="2547" w:type="dxa"/>
            <w:vMerge/>
            <w:vAlign w:val="center"/>
          </w:tcPr>
          <w:p w14:paraId="38B29884"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3691D3CC"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IPTV业务故障排除</w:t>
            </w:r>
          </w:p>
        </w:tc>
        <w:tc>
          <w:tcPr>
            <w:tcW w:w="1642" w:type="dxa"/>
            <w:vAlign w:val="center"/>
          </w:tcPr>
          <w:p w14:paraId="13771CC4"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12</w:t>
            </w:r>
          </w:p>
        </w:tc>
      </w:tr>
      <w:tr w:rsidR="000057D9" w14:paraId="750130DC" w14:textId="77777777">
        <w:trPr>
          <w:jc w:val="center"/>
        </w:trPr>
        <w:tc>
          <w:tcPr>
            <w:tcW w:w="2547" w:type="dxa"/>
            <w:vMerge/>
            <w:vAlign w:val="center"/>
          </w:tcPr>
          <w:p w14:paraId="57A50458"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70A47CE8"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数据通信网络故障排除</w:t>
            </w:r>
          </w:p>
        </w:tc>
        <w:tc>
          <w:tcPr>
            <w:tcW w:w="1642" w:type="dxa"/>
            <w:vAlign w:val="center"/>
          </w:tcPr>
          <w:p w14:paraId="7158C16C"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w:t>
            </w:r>
          </w:p>
        </w:tc>
      </w:tr>
      <w:tr w:rsidR="000057D9" w14:paraId="5C81E870" w14:textId="77777777">
        <w:trPr>
          <w:jc w:val="center"/>
        </w:trPr>
        <w:tc>
          <w:tcPr>
            <w:tcW w:w="2547" w:type="dxa"/>
            <w:vMerge/>
            <w:vAlign w:val="center"/>
          </w:tcPr>
          <w:p w14:paraId="49BC6607" w14:textId="77777777" w:rsidR="000057D9" w:rsidRDefault="000057D9" w:rsidP="00CD165C">
            <w:pPr>
              <w:spacing w:afterLines="0" w:after="0" w:line="540" w:lineRule="exact"/>
              <w:ind w:firstLine="420"/>
              <w:jc w:val="center"/>
              <w:rPr>
                <w:rFonts w:ascii="仿宋_GB2312" w:eastAsia="仿宋_GB2312" w:hAnsi="仿宋_GB2312" w:cs="仿宋_GB2312" w:hint="eastAsia"/>
                <w:color w:val="000000"/>
                <w:sz w:val="32"/>
                <w:szCs w:val="32"/>
              </w:rPr>
            </w:pPr>
          </w:p>
        </w:tc>
        <w:tc>
          <w:tcPr>
            <w:tcW w:w="4240" w:type="dxa"/>
            <w:vAlign w:val="center"/>
          </w:tcPr>
          <w:p w14:paraId="5BA2E8FE"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OTN网络故障排除</w:t>
            </w:r>
          </w:p>
        </w:tc>
        <w:tc>
          <w:tcPr>
            <w:tcW w:w="1642" w:type="dxa"/>
            <w:vAlign w:val="center"/>
          </w:tcPr>
          <w:p w14:paraId="13D138EF" w14:textId="77777777" w:rsidR="000057D9" w:rsidRDefault="000057D9"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w:t>
            </w:r>
          </w:p>
        </w:tc>
      </w:tr>
      <w:tr w:rsidR="0034057B" w14:paraId="5E947207" w14:textId="77777777">
        <w:trPr>
          <w:trHeight w:val="440"/>
          <w:jc w:val="center"/>
        </w:trPr>
        <w:tc>
          <w:tcPr>
            <w:tcW w:w="6787" w:type="dxa"/>
            <w:gridSpan w:val="2"/>
            <w:vAlign w:val="center"/>
          </w:tcPr>
          <w:p w14:paraId="7EBEF2B1"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总计</w:t>
            </w:r>
          </w:p>
        </w:tc>
        <w:tc>
          <w:tcPr>
            <w:tcW w:w="1642" w:type="dxa"/>
            <w:vAlign w:val="center"/>
          </w:tcPr>
          <w:p w14:paraId="7E71609D"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100</w:t>
            </w:r>
          </w:p>
        </w:tc>
      </w:tr>
    </w:tbl>
    <w:p w14:paraId="7FE74E48"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（三）竞赛时间及试题</w:t>
      </w:r>
    </w:p>
    <w:p w14:paraId="66885363" w14:textId="77777777" w:rsidR="00876E10" w:rsidRPr="00876E10" w:rsidRDefault="00000000" w:rsidP="00CD165C">
      <w:pPr>
        <w:spacing w:afterLines="0" w:after="0" w:line="540" w:lineRule="exact"/>
        <w:ind w:firstLineChars="200" w:firstLine="643"/>
        <w:rPr>
          <w:rFonts w:ascii="仿宋_GB2312" w:eastAsia="仿宋_GB2312" w:hAnsi="仿宋_GB2312" w:cs="仿宋_GB2312"/>
          <w:b/>
          <w:bCs/>
          <w:color w:val="000000"/>
          <w:sz w:val="32"/>
          <w:szCs w:val="32"/>
        </w:rPr>
      </w:pPr>
      <w:r w:rsidRPr="00876E10">
        <w:rPr>
          <w:rFonts w:ascii="仿宋_GB2312" w:eastAsia="仿宋_GB2312" w:hAnsi="仿宋_GB2312" w:cs="仿宋_GB2312" w:hint="eastAsia"/>
          <w:b/>
          <w:bCs/>
          <w:color w:val="000000"/>
          <w:sz w:val="32"/>
          <w:szCs w:val="32"/>
        </w:rPr>
        <w:t>1. 竞赛时间安排</w:t>
      </w:r>
    </w:p>
    <w:p w14:paraId="67B314E4" w14:textId="277249DC"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竞赛总时长为180分钟，理论知识考核60分钟，实操考核120分钟。</w:t>
      </w:r>
    </w:p>
    <w:p w14:paraId="5C356F07" w14:textId="36D159BE" w:rsidR="0034057B" w:rsidRPr="00876E10" w:rsidRDefault="00000000" w:rsidP="00CD165C">
      <w:pPr>
        <w:spacing w:afterLines="0" w:after="0" w:line="540" w:lineRule="exact"/>
        <w:ind w:firstLineChars="200" w:firstLine="643"/>
        <w:rPr>
          <w:rFonts w:ascii="仿宋_GB2312" w:eastAsia="仿宋_GB2312" w:hAnsi="仿宋_GB2312" w:cs="仿宋_GB2312"/>
          <w:b/>
          <w:bCs/>
          <w:color w:val="000000"/>
          <w:sz w:val="32"/>
          <w:szCs w:val="32"/>
        </w:rPr>
      </w:pPr>
      <w:r w:rsidRPr="00876E10">
        <w:rPr>
          <w:rFonts w:ascii="仿宋_GB2312" w:eastAsia="仿宋_GB2312" w:hAnsi="仿宋_GB2312" w:cs="仿宋_GB2312" w:hint="eastAsia"/>
          <w:b/>
          <w:bCs/>
          <w:color w:val="000000"/>
          <w:sz w:val="32"/>
          <w:szCs w:val="32"/>
        </w:rPr>
        <w:lastRenderedPageBreak/>
        <w:t>2. 竞赛试题</w:t>
      </w:r>
    </w:p>
    <w:p w14:paraId="728289AD" w14:textId="77777777" w:rsidR="00876E10" w:rsidRPr="00876E10" w:rsidRDefault="00876E10" w:rsidP="00876E10">
      <w:pPr>
        <w:spacing w:after="48" w:line="560" w:lineRule="exact"/>
        <w:ind w:firstLineChars="200" w:firstLine="640"/>
        <w:rPr>
          <w:rFonts w:ascii="仿宋_GB2312" w:eastAsia="仿宋_GB2312" w:hAnsi="仿宋_GB2312" w:cs="仿宋_GB2312" w:hint="eastAsia"/>
          <w:color w:val="000000"/>
          <w:sz w:val="32"/>
          <w:szCs w:val="32"/>
        </w:rPr>
      </w:pPr>
      <w:r w:rsidRPr="00876E10">
        <w:rPr>
          <w:rFonts w:ascii="仿宋_GB2312" w:eastAsia="仿宋_GB2312" w:hAnsi="仿宋_GB2312" w:cs="仿宋_GB2312" w:hint="eastAsia"/>
          <w:color w:val="000000"/>
          <w:sz w:val="32"/>
          <w:szCs w:val="32"/>
        </w:rPr>
        <w:t>（1）理论知识竞赛试题</w:t>
      </w:r>
    </w:p>
    <w:p w14:paraId="14E8A324" w14:textId="77777777" w:rsidR="00876E10" w:rsidRPr="00876E10" w:rsidRDefault="00876E10" w:rsidP="00876E10">
      <w:pPr>
        <w:spacing w:after="48" w:line="560" w:lineRule="exact"/>
        <w:ind w:firstLineChars="200" w:firstLine="640"/>
        <w:rPr>
          <w:rFonts w:ascii="仿宋_GB2312" w:eastAsia="仿宋_GB2312" w:hAnsi="仿宋_GB2312" w:cs="仿宋_GB2312" w:hint="eastAsia"/>
          <w:color w:val="000000"/>
          <w:sz w:val="32"/>
          <w:szCs w:val="32"/>
        </w:rPr>
      </w:pPr>
      <w:r w:rsidRPr="00876E10">
        <w:rPr>
          <w:rFonts w:ascii="仿宋_GB2312" w:eastAsia="仿宋_GB2312" w:hAnsi="仿宋_GB2312" w:cs="仿宋_GB2312" w:hint="eastAsia"/>
          <w:color w:val="000000"/>
          <w:sz w:val="32"/>
          <w:szCs w:val="32"/>
        </w:rPr>
        <w:t>在竞赛开始前7天，大赛在网站上公布理论知识竞赛题库，竞赛试题从题库中抽取。</w:t>
      </w:r>
    </w:p>
    <w:p w14:paraId="3BC76822" w14:textId="77777777" w:rsidR="00876E10" w:rsidRPr="00876E10" w:rsidRDefault="00876E10" w:rsidP="00876E10">
      <w:pPr>
        <w:spacing w:after="48" w:line="560" w:lineRule="exact"/>
        <w:ind w:firstLineChars="200" w:firstLine="640"/>
        <w:rPr>
          <w:rFonts w:ascii="仿宋_GB2312" w:eastAsia="仿宋_GB2312" w:hAnsi="仿宋_GB2312" w:cs="仿宋_GB2312" w:hint="eastAsia"/>
          <w:color w:val="000000"/>
          <w:sz w:val="32"/>
          <w:szCs w:val="32"/>
        </w:rPr>
      </w:pPr>
      <w:r w:rsidRPr="00876E10">
        <w:rPr>
          <w:rFonts w:ascii="仿宋_GB2312" w:eastAsia="仿宋_GB2312" w:hAnsi="仿宋_GB2312" w:cs="仿宋_GB2312" w:hint="eastAsia"/>
          <w:color w:val="000000"/>
          <w:sz w:val="32"/>
          <w:szCs w:val="32"/>
        </w:rPr>
        <w:t>（2）实际操作竞赛试题</w:t>
      </w:r>
    </w:p>
    <w:p w14:paraId="6BF2A1D6" w14:textId="77777777" w:rsidR="00876E10" w:rsidRPr="00876E10" w:rsidRDefault="00876E10" w:rsidP="00876E10">
      <w:pPr>
        <w:spacing w:after="48" w:line="560" w:lineRule="exact"/>
        <w:ind w:firstLineChars="200" w:firstLine="640"/>
        <w:rPr>
          <w:rFonts w:ascii="仿宋_GB2312" w:eastAsia="仿宋_GB2312" w:hAnsi="仿宋_GB2312" w:cs="仿宋_GB2312" w:hint="eastAsia"/>
          <w:color w:val="000000"/>
          <w:sz w:val="32"/>
          <w:szCs w:val="32"/>
        </w:rPr>
      </w:pPr>
      <w:r w:rsidRPr="00876E10">
        <w:rPr>
          <w:rFonts w:ascii="仿宋_GB2312" w:eastAsia="仿宋_GB2312" w:hAnsi="仿宋_GB2312" w:cs="仿宋_GB2312" w:hint="eastAsia"/>
          <w:color w:val="000000"/>
          <w:sz w:val="32"/>
          <w:szCs w:val="32"/>
        </w:rPr>
        <w:t>本赛项不公布正式试题，在竞赛前公布比赛样题。</w:t>
      </w:r>
    </w:p>
    <w:p w14:paraId="56378581" w14:textId="6A77DA6D" w:rsidR="00876E10" w:rsidRPr="00876E10" w:rsidRDefault="00876E10" w:rsidP="00876E10">
      <w:pPr>
        <w:pStyle w:val="afffe"/>
        <w:spacing w:after="48" w:line="560" w:lineRule="exact"/>
        <w:ind w:firstLineChars="200" w:firstLine="640"/>
        <w:rPr>
          <w:rFonts w:ascii="仿宋_GB2312" w:eastAsia="仿宋_GB2312" w:hAnsi="仿宋_GB2312" w:cs="仿宋_GB2312" w:hint="eastAsia"/>
          <w:b/>
          <w:bCs/>
          <w:color w:val="000000"/>
          <w:sz w:val="32"/>
          <w:szCs w:val="32"/>
        </w:rPr>
      </w:pPr>
      <w:r w:rsidRPr="00876E10">
        <w:rPr>
          <w:rFonts w:ascii="仿宋_GB2312" w:eastAsia="仿宋_GB2312" w:hAnsi="仿宋_GB2312" w:cs="仿宋_GB2312" w:hint="eastAsia"/>
          <w:color w:val="000000"/>
          <w:sz w:val="32"/>
          <w:szCs w:val="32"/>
        </w:rPr>
        <w:t>（3）参赛选手交流及样题领取</w:t>
      </w:r>
      <w:r w:rsidRPr="00876E10">
        <w:rPr>
          <w:rFonts w:ascii="仿宋_GB2312" w:eastAsia="仿宋_GB2312" w:hAnsi="仿宋_GB2312" w:cs="仿宋_GB2312" w:hint="eastAsia"/>
          <w:b/>
          <w:bCs/>
          <w:color w:val="000000"/>
          <w:sz w:val="32"/>
          <w:szCs w:val="32"/>
        </w:rPr>
        <w:t>QQ群：</w:t>
      </w:r>
      <w:r w:rsidRPr="00876E10">
        <w:rPr>
          <w:rFonts w:ascii="仿宋_GB2312" w:eastAsia="仿宋_GB2312" w:hAnsi="仿宋_GB2312" w:cs="仿宋_GB2312" w:hint="eastAsia"/>
          <w:b/>
          <w:bCs/>
          <w:color w:val="000000"/>
          <w:sz w:val="32"/>
          <w:szCs w:val="32"/>
        </w:rPr>
        <w:t>693167925</w:t>
      </w:r>
      <w:r w:rsidRPr="00876E10">
        <w:rPr>
          <w:rFonts w:ascii="仿宋_GB2312" w:eastAsia="仿宋_GB2312" w:hAnsi="仿宋_GB2312" w:cs="仿宋_GB2312" w:hint="eastAsia"/>
          <w:b/>
          <w:bCs/>
          <w:color w:val="000000"/>
          <w:sz w:val="32"/>
          <w:szCs w:val="32"/>
        </w:rPr>
        <w:t>。</w:t>
      </w:r>
    </w:p>
    <w:p w14:paraId="08F15795"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（四）评判标准</w:t>
      </w:r>
    </w:p>
    <w:p w14:paraId="2DB9A228"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 分数权重：本赛项总分为100分，理论知识考核成绩占20%，实操考核成绩占80%。最终成绩经复核无误，由裁判长签字确认后公布。</w:t>
      </w:r>
    </w:p>
    <w:p w14:paraId="458EA6C2"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 评判方法：评判由评分裁判进行，评分裁判在裁判长领导下开展分工评判。</w:t>
      </w:r>
    </w:p>
    <w:p w14:paraId="0CA02C3C"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 成绩并列：选手竞赛总分相同者，按实操考核得分高者优先。</w:t>
      </w:r>
    </w:p>
    <w:p w14:paraId="77CD9F68"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五、评分流程及考核细则</w:t>
      </w:r>
    </w:p>
    <w:p w14:paraId="26696007"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竞赛过程中，评分裁判按照分工，依据评判标准和相关技术要求开展评判工作。本项目主要评判事后结果，比赛结束后及时对选手成果进行评判。由三人以上评审小组对选手成果进行客观测量，评分小组必须对所有选手的同一评分项以统一标准尺度开展一致性评判。</w:t>
      </w:r>
    </w:p>
    <w:p w14:paraId="3395C123"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六、申诉与仲裁</w:t>
      </w:r>
    </w:p>
    <w:p w14:paraId="131F3854"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赛项设仲裁工作组，比赛过程中若出现有失公正或人员违</w:t>
      </w:r>
      <w:r>
        <w:rPr>
          <w:rFonts w:ascii="仿宋_GB2312" w:eastAsia="仿宋_GB2312" w:hAnsi="仿宋_GB2312" w:cs="仿宋_GB2312" w:hint="eastAsia"/>
          <w:color w:val="000000"/>
          <w:sz w:val="32"/>
          <w:szCs w:val="32"/>
        </w:rPr>
        <w:lastRenderedPageBreak/>
        <w:t>规等现象，参赛队可在比赛结束后2小时内，向仲裁工作组递交由领队亲手签字的书面申诉报告。报告应对申诉事件的现象、发生时间、涉及人员、申诉依据等进行充分、实事求是的叙述，非书面申诉不予受理。</w:t>
      </w:r>
    </w:p>
    <w:p w14:paraId="2FC0B579"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仲裁工作组接到申诉后2小时内组织复议并及时反馈结果，仲裁委员会的仲裁结果为赛事最终结论。</w:t>
      </w:r>
    </w:p>
    <w:p w14:paraId="0EFEBD53"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七、竞赛场地、设施设备安排</w:t>
      </w:r>
    </w:p>
    <w:p w14:paraId="5DB1CEE0"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（一）赛场规格要求</w:t>
      </w:r>
    </w:p>
    <w:p w14:paraId="095A4A49"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 竞赛在室内进行，现场设置场内竞赛区、现场裁判工作区、技术支持区、监督仲裁区、场外互动区等功能区域。</w:t>
      </w:r>
    </w:p>
    <w:p w14:paraId="67E07D00"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 技术支持人员在技术支持服务区候场，需现场支持时由裁判带领进入对应工位，条件具备时技术支持区可设置在考场外。</w:t>
      </w:r>
    </w:p>
    <w:p w14:paraId="2A2868D4"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 各参赛工位之间互不干扰，每个工位配备1套桌椅、1台竞赛用计算机。</w:t>
      </w:r>
    </w:p>
    <w:p w14:paraId="6B4A6235"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4. 赛场提供稳定供电及应急供电设备，每个工位提供独立220V交流电源、1条上网网线；各工位分区供电，强电弱电分开布线，现场临时用电符合《施工现场临时用电安全技术规范》JGJ46-2005要求。</w:t>
      </w:r>
    </w:p>
    <w:p w14:paraId="1FA67940"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5. 赛场通风良好，照明符合教室采光规范。</w:t>
      </w:r>
    </w:p>
    <w:p w14:paraId="5086589A"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 赛场符合消防安全规定，消防器材、消防栓合格有效，应急照明设施状态正常；明显位置张贴紧急疏散图，地面张贴荧光疏散指示箭头；出入口专人值守，保障安全通道畅通。</w:t>
      </w:r>
    </w:p>
    <w:p w14:paraId="4D01E94E"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（二）场地布局图</w:t>
      </w:r>
    </w:p>
    <w:p w14:paraId="5D603B9D" w14:textId="77777777" w:rsidR="0034057B" w:rsidRDefault="00000000" w:rsidP="00CD165C">
      <w:pPr>
        <w:spacing w:afterLines="0" w:after="0" w:line="540" w:lineRule="exact"/>
        <w:rPr>
          <w:rFonts w:ascii="楷体" w:eastAsia="楷体" w:hAnsi="楷体" w:cs="楷体" w:hint="eastAsia"/>
          <w:b/>
          <w:color w:val="000000"/>
          <w:sz w:val="32"/>
          <w:szCs w:val="32"/>
        </w:rPr>
      </w:pPr>
      <w:r>
        <w:rPr>
          <w:rFonts w:ascii="楷体" w:eastAsia="楷体" w:hAnsi="楷体" w:cs="楷体" w:hint="eastAsia"/>
          <w:b/>
          <w:noProof/>
          <w:color w:val="000000"/>
          <w:sz w:val="32"/>
          <w:szCs w:val="32"/>
        </w:rPr>
        <w:lastRenderedPageBreak/>
        <w:drawing>
          <wp:anchor distT="0" distB="0" distL="0" distR="0" simplePos="0" relativeHeight="251659264" behindDoc="0" locked="0" layoutInCell="1" allowOverlap="1" wp14:anchorId="0EB04180" wp14:editId="1ACD734A">
            <wp:simplePos x="0" y="0"/>
            <wp:positionH relativeFrom="column">
              <wp:posOffset>869950</wp:posOffset>
            </wp:positionH>
            <wp:positionV relativeFrom="paragraph">
              <wp:posOffset>422910</wp:posOffset>
            </wp:positionV>
            <wp:extent cx="4416425" cy="4234180"/>
            <wp:effectExtent l="0" t="0" r="317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416425" cy="4234180"/>
                    </a:xfrm>
                    <a:prstGeom prst="rect">
                      <a:avLst/>
                    </a:prstGeom>
                    <a:noFill/>
                    <a:ln>
                      <a:noFill/>
                    </a:ln>
                  </pic:spPr>
                </pic:pic>
              </a:graphicData>
            </a:graphic>
          </wp:anchor>
        </w:drawing>
      </w:r>
    </w:p>
    <w:p w14:paraId="4FDBCD8D" w14:textId="77777777" w:rsidR="0034057B" w:rsidRPr="00CD165C" w:rsidRDefault="00000000" w:rsidP="00CD165C">
      <w:pPr>
        <w:spacing w:afterLines="0" w:after="0" w:line="540" w:lineRule="exact"/>
        <w:ind w:firstLineChars="200" w:firstLine="640"/>
        <w:rPr>
          <w:rFonts w:ascii="楷体" w:eastAsia="楷体" w:hAnsi="楷体" w:cs="楷体" w:hint="eastAsia"/>
          <w:bCs/>
          <w:color w:val="000000"/>
          <w:sz w:val="32"/>
          <w:szCs w:val="32"/>
        </w:rPr>
      </w:pPr>
      <w:r w:rsidRPr="00CD165C">
        <w:rPr>
          <w:rFonts w:ascii="楷体" w:eastAsia="楷体" w:hAnsi="楷体" w:cs="楷体" w:hint="eastAsia"/>
          <w:bCs/>
          <w:color w:val="000000"/>
          <w:sz w:val="32"/>
          <w:szCs w:val="32"/>
        </w:rPr>
        <w:t>（三）基础设施清单</w:t>
      </w:r>
    </w:p>
    <w:p w14:paraId="0F4194B1" w14:textId="2F15276B" w:rsidR="00CD165C"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本赛项竞赛所需计算机、仿真系统及配套软件等与竞赛直接相关的设备设施由赛场统一提供，无需选手自带。赛场提供的所有设备、物料、耗材、考题、草稿纸等物品，竞赛结束后严禁携带出赛场。</w:t>
      </w:r>
    </w:p>
    <w:p w14:paraId="756E99F4" w14:textId="6A4E6B2B" w:rsidR="0034057B" w:rsidRDefault="00CD165C" w:rsidP="00CD165C">
      <w:pPr>
        <w:widowControl/>
        <w:adjustRightInd/>
        <w:snapToGrid/>
        <w:spacing w:afterLines="0" w:after="0" w:line="240" w:lineRule="auto"/>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br w:type="page"/>
      </w:r>
    </w:p>
    <w:tbl>
      <w:tblPr>
        <w:tblStyle w:val="afd"/>
        <w:tblW w:w="9031" w:type="dxa"/>
        <w:jc w:val="center"/>
        <w:tblLook w:val="04A0" w:firstRow="1" w:lastRow="0" w:firstColumn="1" w:lastColumn="0" w:noHBand="0" w:noVBand="1"/>
      </w:tblPr>
      <w:tblGrid>
        <w:gridCol w:w="902"/>
        <w:gridCol w:w="1559"/>
        <w:gridCol w:w="4678"/>
        <w:gridCol w:w="992"/>
        <w:gridCol w:w="900"/>
      </w:tblGrid>
      <w:tr w:rsidR="0034057B" w14:paraId="5748554B" w14:textId="77777777" w:rsidTr="00CD165C">
        <w:trPr>
          <w:jc w:val="center"/>
        </w:trPr>
        <w:tc>
          <w:tcPr>
            <w:tcW w:w="902" w:type="dxa"/>
          </w:tcPr>
          <w:p w14:paraId="61F21035"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lastRenderedPageBreak/>
              <w:t>序号</w:t>
            </w:r>
          </w:p>
        </w:tc>
        <w:tc>
          <w:tcPr>
            <w:tcW w:w="1559" w:type="dxa"/>
          </w:tcPr>
          <w:p w14:paraId="1E64AD27"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设备名称</w:t>
            </w:r>
          </w:p>
        </w:tc>
        <w:tc>
          <w:tcPr>
            <w:tcW w:w="4678" w:type="dxa"/>
          </w:tcPr>
          <w:p w14:paraId="17537A3A"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参数配置</w:t>
            </w:r>
          </w:p>
        </w:tc>
        <w:tc>
          <w:tcPr>
            <w:tcW w:w="992" w:type="dxa"/>
          </w:tcPr>
          <w:p w14:paraId="7884BA5D"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单位</w:t>
            </w:r>
          </w:p>
        </w:tc>
        <w:tc>
          <w:tcPr>
            <w:tcW w:w="900" w:type="dxa"/>
          </w:tcPr>
          <w:p w14:paraId="16EE83F0"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数量</w:t>
            </w:r>
          </w:p>
        </w:tc>
      </w:tr>
      <w:tr w:rsidR="0034057B" w14:paraId="73CD1A2F" w14:textId="77777777" w:rsidTr="00CD165C">
        <w:trPr>
          <w:trHeight w:val="11953"/>
          <w:jc w:val="center"/>
        </w:trPr>
        <w:tc>
          <w:tcPr>
            <w:tcW w:w="902" w:type="dxa"/>
          </w:tcPr>
          <w:p w14:paraId="0CFD068D"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p>
        </w:tc>
        <w:tc>
          <w:tcPr>
            <w:tcW w:w="1559" w:type="dxa"/>
          </w:tcPr>
          <w:p w14:paraId="61F0FCB4"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台式电脑</w:t>
            </w:r>
          </w:p>
        </w:tc>
        <w:tc>
          <w:tcPr>
            <w:tcW w:w="4678" w:type="dxa"/>
          </w:tcPr>
          <w:p w14:paraId="36FC5639"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1.CPU：推荐Intel 酷睿8代i5及以上；</w:t>
            </w:r>
          </w:p>
          <w:p w14:paraId="0CFE7193"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2.内存：8G及以上；3.操作系统：WIN7及以上版本64位中文操作系统；</w:t>
            </w:r>
          </w:p>
          <w:p w14:paraId="7A7F15B3"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4.显卡：NVIDIA GeForce GTX 970、AMD Radeon R9 290同等或更高配置；</w:t>
            </w:r>
          </w:p>
          <w:p w14:paraId="0D83C90C"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5.视频输出：支持HDMI 1.4、DisplayPort 1.2或以上；</w:t>
            </w:r>
          </w:p>
          <w:p w14:paraId="73A1E900"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6.分辨率：1920*1080及以上；</w:t>
            </w:r>
          </w:p>
          <w:p w14:paraId="751B690B" w14:textId="13C47AA6" w:rsidR="0034057B"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7.预装截屏软件、录屏软件</w:t>
            </w:r>
          </w:p>
        </w:tc>
        <w:tc>
          <w:tcPr>
            <w:tcW w:w="992" w:type="dxa"/>
          </w:tcPr>
          <w:p w14:paraId="3799BB2A"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台</w:t>
            </w:r>
          </w:p>
        </w:tc>
        <w:tc>
          <w:tcPr>
            <w:tcW w:w="900" w:type="dxa"/>
          </w:tcPr>
          <w:p w14:paraId="1FAE10F4"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每选手1台</w:t>
            </w:r>
          </w:p>
        </w:tc>
      </w:tr>
      <w:tr w:rsidR="0034057B" w14:paraId="6EFA030D" w14:textId="77777777" w:rsidTr="00CD165C">
        <w:trPr>
          <w:jc w:val="center"/>
        </w:trPr>
        <w:tc>
          <w:tcPr>
            <w:tcW w:w="902" w:type="dxa"/>
          </w:tcPr>
          <w:p w14:paraId="1E726A19"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lastRenderedPageBreak/>
              <w:t>2</w:t>
            </w:r>
          </w:p>
        </w:tc>
        <w:tc>
          <w:tcPr>
            <w:tcW w:w="1559" w:type="dxa"/>
          </w:tcPr>
          <w:p w14:paraId="265CFFA6"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智慧城域网部署与应用仿真系统</w:t>
            </w:r>
          </w:p>
        </w:tc>
        <w:tc>
          <w:tcPr>
            <w:tcW w:w="4678" w:type="dxa"/>
          </w:tcPr>
          <w:p w14:paraId="04A26848"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1.支持网络设计功能，可通过网元部署及连线完成核心网、承载网及接入网规划拓扑设计；</w:t>
            </w:r>
          </w:p>
          <w:p w14:paraId="755A16C9" w14:textId="41769676"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2.支持硬件配置功能，可完成PON设备机房部署、网元线缆连接，支持承载网机房与业务机房硬件配置；</w:t>
            </w:r>
          </w:p>
          <w:p w14:paraId="6DF7409C" w14:textId="77777777" w:rsidR="000057D9"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支持数据配置功能，可完成GPON宽带模板、VOIP协议模板、宽带/语音/组播业务等配置，承载网支持IP承载和光传输配置；4.支持业务调试功能，可通过告警、拨测等工具完成业务调试及故障处理，支持PING、TRACE、光路检测、终端接入测试等功能；</w:t>
            </w:r>
          </w:p>
          <w:p w14:paraId="58C8507B" w14:textId="1C290D7D" w:rsidR="0034057B" w:rsidRDefault="00000000" w:rsidP="000057D9">
            <w:pPr>
              <w:spacing w:afterLines="0" w:after="0" w:line="540" w:lineRule="exact"/>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5.承载网和接入网支持组播和QoS</w:t>
            </w:r>
          </w:p>
        </w:tc>
        <w:tc>
          <w:tcPr>
            <w:tcW w:w="992" w:type="dxa"/>
          </w:tcPr>
          <w:p w14:paraId="17C45BF9"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套</w:t>
            </w:r>
          </w:p>
        </w:tc>
        <w:tc>
          <w:tcPr>
            <w:tcW w:w="900" w:type="dxa"/>
          </w:tcPr>
          <w:p w14:paraId="63091867"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每选手1套</w:t>
            </w:r>
          </w:p>
        </w:tc>
      </w:tr>
      <w:tr w:rsidR="0034057B" w14:paraId="79C07A22" w14:textId="77777777" w:rsidTr="00CD165C">
        <w:trPr>
          <w:jc w:val="center"/>
        </w:trPr>
        <w:tc>
          <w:tcPr>
            <w:tcW w:w="902" w:type="dxa"/>
          </w:tcPr>
          <w:p w14:paraId="08540F8C"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w:t>
            </w:r>
          </w:p>
        </w:tc>
        <w:tc>
          <w:tcPr>
            <w:tcW w:w="1559" w:type="dxa"/>
          </w:tcPr>
          <w:p w14:paraId="1BE53139"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考试U盘</w:t>
            </w:r>
          </w:p>
        </w:tc>
        <w:tc>
          <w:tcPr>
            <w:tcW w:w="4678" w:type="dxa"/>
          </w:tcPr>
          <w:p w14:paraId="429E167F"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用于竞赛结果备份保存，容量不低于8GB</w:t>
            </w:r>
          </w:p>
        </w:tc>
        <w:tc>
          <w:tcPr>
            <w:tcW w:w="992" w:type="dxa"/>
          </w:tcPr>
          <w:p w14:paraId="45D1E838"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个</w:t>
            </w:r>
          </w:p>
        </w:tc>
        <w:tc>
          <w:tcPr>
            <w:tcW w:w="900" w:type="dxa"/>
          </w:tcPr>
          <w:p w14:paraId="20C67D45" w14:textId="77777777" w:rsidR="0034057B" w:rsidRDefault="00000000" w:rsidP="00CD165C">
            <w:pPr>
              <w:spacing w:afterLines="0" w:after="0" w:line="540" w:lineRule="exact"/>
              <w:jc w:val="center"/>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每选手1个</w:t>
            </w:r>
          </w:p>
        </w:tc>
      </w:tr>
    </w:tbl>
    <w:p w14:paraId="681A61C9"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备注：设备数量根据实际参赛人数调整，仿真系统支持远</w:t>
      </w:r>
      <w:r>
        <w:rPr>
          <w:rFonts w:ascii="仿宋_GB2312" w:eastAsia="仿宋_GB2312" w:hAnsi="仿宋_GB2312" w:cs="仿宋_GB2312" w:hint="eastAsia"/>
          <w:color w:val="000000"/>
          <w:sz w:val="32"/>
          <w:szCs w:val="32"/>
        </w:rPr>
        <w:lastRenderedPageBreak/>
        <w:t>程接入赛场。</w:t>
      </w:r>
    </w:p>
    <w:p w14:paraId="57264A8A"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八、工具材料安排及清单</w:t>
      </w:r>
    </w:p>
    <w:p w14:paraId="730666E6"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 本项目参赛选手无需自带任何工具、材料。</w:t>
      </w:r>
    </w:p>
    <w:p w14:paraId="57A66C6E"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 禁止选手携带任何工具、材料进入赛场。</w:t>
      </w:r>
    </w:p>
    <w:p w14:paraId="269AA0F0" w14:textId="77777777" w:rsidR="0034057B" w:rsidRDefault="00000000" w:rsidP="00CD165C">
      <w:pPr>
        <w:spacing w:afterLines="0" w:after="0" w:line="54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 赛场提供的设备、设施、物料、耗材、考题、草稿纸等物品，竞赛结束后严禁携带出赛场。</w:t>
      </w:r>
    </w:p>
    <w:p w14:paraId="151CDD06" w14:textId="77777777"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九、项目特殊说明</w:t>
      </w:r>
    </w:p>
    <w:p w14:paraId="0F57EDC0" w14:textId="77777777" w:rsidR="0034057B" w:rsidRDefault="00000000" w:rsidP="00CD165C">
      <w:pPr>
        <w:spacing w:afterLines="0" w:after="0" w:line="540" w:lineRule="exact"/>
        <w:ind w:firstLineChars="200" w:firstLine="643"/>
        <w:rPr>
          <w:rFonts w:ascii="楷体" w:eastAsia="楷体" w:hAnsi="楷体" w:cs="楷体" w:hint="eastAsia"/>
          <w:sz w:val="32"/>
          <w:szCs w:val="32"/>
        </w:rPr>
      </w:pPr>
      <w:r>
        <w:rPr>
          <w:rFonts w:ascii="楷体" w:eastAsia="楷体" w:hAnsi="楷体" w:cs="楷体" w:hint="eastAsia"/>
          <w:b/>
          <w:color w:val="000000"/>
          <w:sz w:val="32"/>
          <w:szCs w:val="32"/>
        </w:rPr>
        <w:t>（一）赛场纪律</w:t>
      </w:r>
    </w:p>
    <w:p w14:paraId="328854E7"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w:t>
      </w:r>
      <w:r w:rsidRPr="00CD165C">
        <w:rPr>
          <w:rFonts w:ascii="仿宋_GB2312" w:eastAsia="仿宋_GB2312" w:hAnsi="仿宋_GB2312" w:cs="仿宋_GB2312" w:hint="eastAsia"/>
          <w:color w:val="000000"/>
          <w:sz w:val="32"/>
          <w:szCs w:val="32"/>
        </w:rPr>
        <w:t>参赛选手须凭竞赛抽签单、身份证和参赛证进入考场；</w:t>
      </w:r>
    </w:p>
    <w:p w14:paraId="332DF730"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2.</w:t>
      </w:r>
      <w:r w:rsidRPr="00CD165C">
        <w:rPr>
          <w:rFonts w:ascii="仿宋_GB2312" w:eastAsia="仿宋_GB2312" w:hAnsi="仿宋_GB2312" w:cs="仿宋_GB2312" w:hint="eastAsia"/>
          <w:color w:val="000000"/>
          <w:sz w:val="32"/>
          <w:szCs w:val="32"/>
        </w:rPr>
        <w:t>参赛选手不得携带除竞赛抽签单、参赛证以外的任何物品进入考场；</w:t>
      </w:r>
    </w:p>
    <w:p w14:paraId="0570BB0B"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3.</w:t>
      </w:r>
      <w:r w:rsidRPr="00CD165C">
        <w:rPr>
          <w:rFonts w:ascii="仿宋_GB2312" w:eastAsia="仿宋_GB2312" w:hAnsi="仿宋_GB2312" w:cs="仿宋_GB2312" w:hint="eastAsia"/>
          <w:color w:val="000000"/>
          <w:sz w:val="32"/>
          <w:szCs w:val="32"/>
        </w:rPr>
        <w:t>进入考场后，参赛选手应按照抽签单进入相应工位，并检查设备状况；</w:t>
      </w:r>
    </w:p>
    <w:p w14:paraId="50C436DD"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4.</w:t>
      </w:r>
      <w:r w:rsidRPr="00CD165C">
        <w:rPr>
          <w:rFonts w:ascii="仿宋_GB2312" w:eastAsia="仿宋_GB2312" w:hAnsi="仿宋_GB2312" w:cs="仿宋_GB2312" w:hint="eastAsia"/>
          <w:color w:val="000000"/>
          <w:sz w:val="32"/>
          <w:szCs w:val="32"/>
        </w:rPr>
        <w:t>参赛选手应准时参赛，迟到</w:t>
      </w:r>
      <w:r w:rsidRPr="00CD165C">
        <w:rPr>
          <w:rFonts w:ascii="仿宋_GB2312" w:eastAsia="仿宋_GB2312" w:hAnsi="仿宋_GB2312" w:cs="仿宋_GB2312"/>
          <w:color w:val="000000"/>
          <w:sz w:val="32"/>
          <w:szCs w:val="32"/>
        </w:rPr>
        <w:t>30</w:t>
      </w:r>
      <w:r w:rsidRPr="00CD165C">
        <w:rPr>
          <w:rFonts w:ascii="仿宋_GB2312" w:eastAsia="仿宋_GB2312" w:hAnsi="仿宋_GB2312" w:cs="仿宋_GB2312" w:hint="eastAsia"/>
          <w:color w:val="000000"/>
          <w:sz w:val="32"/>
          <w:szCs w:val="32"/>
        </w:rPr>
        <w:t>分钟以上者，将不得入场，并按自动弃权处理；</w:t>
      </w:r>
    </w:p>
    <w:p w14:paraId="12799A06"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5.</w:t>
      </w:r>
      <w:r w:rsidRPr="00CD165C">
        <w:rPr>
          <w:rFonts w:ascii="仿宋_GB2312" w:eastAsia="仿宋_GB2312" w:hAnsi="仿宋_GB2312" w:cs="仿宋_GB2312" w:hint="eastAsia"/>
          <w:color w:val="000000"/>
          <w:sz w:val="32"/>
          <w:szCs w:val="32"/>
        </w:rPr>
        <w:t>参赛选手在竞赛期间可饮水、进食、上洗手间，但其耗时一律计入竞赛时间；</w:t>
      </w:r>
    </w:p>
    <w:p w14:paraId="5E169492"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6.</w:t>
      </w:r>
      <w:r w:rsidRPr="00CD165C">
        <w:rPr>
          <w:rFonts w:ascii="仿宋_GB2312" w:eastAsia="仿宋_GB2312" w:hAnsi="仿宋_GB2312" w:cs="仿宋_GB2312" w:hint="eastAsia"/>
          <w:color w:val="000000"/>
          <w:sz w:val="32"/>
          <w:szCs w:val="32"/>
        </w:rPr>
        <w:t>裁判组发出开始竞赛的时间信号后，参赛选手方可进行操作；</w:t>
      </w:r>
    </w:p>
    <w:p w14:paraId="234E8E51"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7.</w:t>
      </w:r>
      <w:r w:rsidRPr="00CD165C">
        <w:rPr>
          <w:rFonts w:ascii="仿宋_GB2312" w:eastAsia="仿宋_GB2312" w:hAnsi="仿宋_GB2312" w:cs="仿宋_GB2312" w:hint="eastAsia"/>
          <w:color w:val="000000"/>
          <w:sz w:val="32"/>
          <w:szCs w:val="32"/>
        </w:rPr>
        <w:t>参赛选手必须独立完成所有项目，除征得裁判长许可，否则严禁与其他选手、与会人员和本单位裁判员交流接触；</w:t>
      </w:r>
    </w:p>
    <w:p w14:paraId="17B674C6"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8.</w:t>
      </w:r>
      <w:r w:rsidRPr="00CD165C">
        <w:rPr>
          <w:rFonts w:ascii="仿宋_GB2312" w:eastAsia="仿宋_GB2312" w:hAnsi="仿宋_GB2312" w:cs="仿宋_GB2312" w:hint="eastAsia"/>
          <w:color w:val="000000"/>
          <w:sz w:val="32"/>
          <w:szCs w:val="32"/>
        </w:rPr>
        <w:t>参赛选手不得在试卷和答题纸上做任何不属于试题要求范围的标记；</w:t>
      </w:r>
    </w:p>
    <w:p w14:paraId="4DAA7E03"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9.</w:t>
      </w:r>
      <w:r w:rsidRPr="00CD165C">
        <w:rPr>
          <w:rFonts w:ascii="仿宋_GB2312" w:eastAsia="仿宋_GB2312" w:hAnsi="仿宋_GB2312" w:cs="仿宋_GB2312" w:hint="eastAsia"/>
          <w:color w:val="000000"/>
          <w:sz w:val="32"/>
          <w:szCs w:val="32"/>
        </w:rPr>
        <w:t>竞赛期间，参赛选手遇有问题应向裁判员举手示意，由</w:t>
      </w:r>
      <w:r w:rsidRPr="00CD165C">
        <w:rPr>
          <w:rFonts w:ascii="仿宋_GB2312" w:eastAsia="仿宋_GB2312" w:hAnsi="仿宋_GB2312" w:cs="仿宋_GB2312" w:hint="eastAsia"/>
          <w:color w:val="000000"/>
          <w:sz w:val="32"/>
          <w:szCs w:val="32"/>
        </w:rPr>
        <w:lastRenderedPageBreak/>
        <w:t>裁判员与技术工作人员负责处理；</w:t>
      </w:r>
    </w:p>
    <w:p w14:paraId="20B107C4"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10.</w:t>
      </w:r>
      <w:r w:rsidRPr="00CD165C">
        <w:rPr>
          <w:rFonts w:ascii="仿宋_GB2312" w:eastAsia="仿宋_GB2312" w:hAnsi="仿宋_GB2312" w:cs="仿宋_GB2312" w:hint="eastAsia"/>
          <w:color w:val="000000"/>
          <w:sz w:val="32"/>
          <w:szCs w:val="32"/>
        </w:rPr>
        <w:t>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272BDC0A" w14:textId="77777777" w:rsid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11.</w:t>
      </w:r>
      <w:r w:rsidRPr="00CD165C">
        <w:rPr>
          <w:rFonts w:ascii="仿宋_GB2312" w:eastAsia="仿宋_GB2312" w:hAnsi="仿宋_GB2312" w:cs="仿宋_GB2312" w:hint="eastAsia"/>
          <w:color w:val="000000"/>
          <w:sz w:val="32"/>
          <w:szCs w:val="32"/>
        </w:rPr>
        <w:t>裁判工作人员发出结束竞赛的时间信号后，参赛选手应立即停止操作，经裁判长许可后，依次有序地离开赛场。</w:t>
      </w:r>
    </w:p>
    <w:p w14:paraId="414A88E6" w14:textId="526C7E08" w:rsidR="0034057B" w:rsidRDefault="00000000" w:rsidP="00CD165C">
      <w:pPr>
        <w:spacing w:afterLines="0" w:after="0" w:line="54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（二）异常情况处理说明</w:t>
      </w:r>
    </w:p>
    <w:p w14:paraId="4239E48A"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hint="eastAsia"/>
          <w:color w:val="000000"/>
          <w:sz w:val="32"/>
          <w:szCs w:val="32"/>
        </w:rPr>
        <w:t>比赛期间，参赛选手及其代表队的其他人员如有违反比赛规则的行为，将采取以下处理措施：</w:t>
      </w:r>
    </w:p>
    <w:p w14:paraId="42014FFC"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w:t>
      </w:r>
      <w:r w:rsidRPr="00CD165C">
        <w:rPr>
          <w:rFonts w:ascii="仿宋_GB2312" w:eastAsia="仿宋_GB2312" w:hAnsi="仿宋_GB2312" w:cs="仿宋_GB2312" w:hint="eastAsia"/>
          <w:color w:val="000000"/>
          <w:sz w:val="32"/>
          <w:szCs w:val="32"/>
        </w:rPr>
        <w:t>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476645D2"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2.</w:t>
      </w:r>
      <w:r w:rsidRPr="00CD165C">
        <w:rPr>
          <w:rFonts w:ascii="仿宋_GB2312" w:eastAsia="仿宋_GB2312" w:hAnsi="仿宋_GB2312" w:cs="仿宋_GB2312" w:hint="eastAsia"/>
          <w:color w:val="000000"/>
          <w:sz w:val="32"/>
          <w:szCs w:val="32"/>
        </w:rPr>
        <w:t>如参赛选手被发现擅自处理比赛设备，故意修改设备正常参数，为其他选手设置故障等相应问题，不论原因如何，应立即向裁判长报告，并按照裁判长意见进行处理；</w:t>
      </w:r>
    </w:p>
    <w:p w14:paraId="399169DF"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3.</w:t>
      </w:r>
      <w:r w:rsidRPr="00CD165C">
        <w:rPr>
          <w:rFonts w:ascii="仿宋_GB2312" w:eastAsia="仿宋_GB2312" w:hAnsi="仿宋_GB2312" w:cs="仿宋_GB2312" w:hint="eastAsia"/>
          <w:color w:val="000000"/>
          <w:sz w:val="32"/>
          <w:szCs w:val="32"/>
        </w:rPr>
        <w:t>如选手被发现通过网络、通信设备等，将比赛赛题、比赛运行文件及软件、比赛账号等发布出去，提前上传、访问比赛试题的具体解决方案、步骤，一经查实，取消比赛成绩；</w:t>
      </w:r>
    </w:p>
    <w:p w14:paraId="1A976F06"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4.</w:t>
      </w:r>
      <w:r w:rsidRPr="00CD165C">
        <w:rPr>
          <w:rFonts w:ascii="仿宋_GB2312" w:eastAsia="仿宋_GB2312" w:hAnsi="仿宋_GB2312" w:cs="仿宋_GB2312" w:hint="eastAsia"/>
          <w:color w:val="000000"/>
          <w:sz w:val="32"/>
          <w:szCs w:val="32"/>
        </w:rPr>
        <w:t>各代表队的其他人员的违规行为如对参赛选手比赛成绩产生影响，将由裁判长组织全体裁判员讨论并给出处理意见，根据各项目评判标准及本技术文件的基本要求，依据情节轻重，</w:t>
      </w:r>
      <w:r w:rsidRPr="00CD165C">
        <w:rPr>
          <w:rFonts w:ascii="仿宋_GB2312" w:eastAsia="仿宋_GB2312" w:hAnsi="仿宋_GB2312" w:cs="仿宋_GB2312" w:hint="eastAsia"/>
          <w:color w:val="000000"/>
          <w:sz w:val="32"/>
          <w:szCs w:val="32"/>
        </w:rPr>
        <w:lastRenderedPageBreak/>
        <w:t>对该队选手给予警告，直至取消比赛资格；</w:t>
      </w:r>
    </w:p>
    <w:p w14:paraId="3E8AF8F2"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5.</w:t>
      </w:r>
      <w:r w:rsidRPr="00CD165C">
        <w:rPr>
          <w:rFonts w:ascii="仿宋_GB2312" w:eastAsia="仿宋_GB2312" w:hAnsi="仿宋_GB2312" w:cs="仿宋_GB2312" w:hint="eastAsia"/>
          <w:color w:val="000000"/>
          <w:sz w:val="32"/>
          <w:szCs w:val="32"/>
        </w:rPr>
        <w:t>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747D257E"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6.</w:t>
      </w:r>
      <w:r w:rsidRPr="00CD165C">
        <w:rPr>
          <w:rFonts w:ascii="仿宋_GB2312" w:eastAsia="仿宋_GB2312" w:hAnsi="仿宋_GB2312" w:cs="仿宋_GB2312" w:hint="eastAsia"/>
          <w:color w:val="000000"/>
          <w:sz w:val="32"/>
          <w:szCs w:val="32"/>
        </w:rPr>
        <w:t>各项目对选手进行的相关违规违纪处理，应由裁判长及时向监督仲裁人员通报。</w:t>
      </w:r>
    </w:p>
    <w:p w14:paraId="7D03F43D" w14:textId="77777777" w:rsid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hint="eastAsia"/>
          <w:color w:val="000000"/>
          <w:sz w:val="32"/>
          <w:szCs w:val="32"/>
        </w:rPr>
        <w:t>上述违规行为及严重程度，由裁判组按照简单多数原则认定。未尽事宜，参照全国行业职业技能竞赛工作相关规定，由裁判组按照简单多数原则讨论决定。</w:t>
      </w:r>
    </w:p>
    <w:p w14:paraId="671BFD1A" w14:textId="23227C36" w:rsidR="0034057B" w:rsidRDefault="00000000" w:rsidP="00CD165C">
      <w:pPr>
        <w:spacing w:afterLines="0" w:after="0" w:line="540" w:lineRule="exact"/>
        <w:ind w:firstLineChars="200" w:firstLine="643"/>
        <w:rPr>
          <w:rFonts w:ascii="黑体" w:eastAsia="黑体" w:hAnsi="黑体" w:hint="eastAsia"/>
          <w:b/>
          <w:color w:val="000000"/>
          <w:sz w:val="32"/>
          <w:szCs w:val="32"/>
        </w:rPr>
      </w:pPr>
      <w:r>
        <w:rPr>
          <w:rFonts w:ascii="黑体" w:eastAsia="黑体" w:hAnsi="黑体"/>
          <w:b/>
          <w:color w:val="000000"/>
          <w:sz w:val="32"/>
          <w:szCs w:val="32"/>
        </w:rPr>
        <w:t>十、安全办赛要求</w:t>
      </w:r>
    </w:p>
    <w:p w14:paraId="37C9C056" w14:textId="77777777" w:rsidR="0034057B" w:rsidRDefault="00000000" w:rsidP="00CD165C">
      <w:pPr>
        <w:spacing w:afterLines="0" w:after="0" w:line="54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（一）选手安全防护要求</w:t>
      </w:r>
    </w:p>
    <w:p w14:paraId="7FAF61EB"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w:t>
      </w:r>
      <w:r w:rsidRPr="00CD165C">
        <w:rPr>
          <w:rFonts w:ascii="仿宋_GB2312" w:eastAsia="仿宋_GB2312" w:hAnsi="仿宋_GB2312" w:cs="仿宋_GB2312" w:hint="eastAsia"/>
          <w:color w:val="000000"/>
          <w:sz w:val="32"/>
          <w:szCs w:val="32"/>
        </w:rPr>
        <w:t>参赛选手应严格遵守设备安全操作规程；</w:t>
      </w:r>
    </w:p>
    <w:p w14:paraId="064C73AE"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2.</w:t>
      </w:r>
      <w:r w:rsidRPr="00CD165C">
        <w:rPr>
          <w:rFonts w:ascii="仿宋_GB2312" w:eastAsia="仿宋_GB2312" w:hAnsi="仿宋_GB2312" w:cs="仿宋_GB2312" w:hint="eastAsia"/>
          <w:color w:val="000000"/>
          <w:sz w:val="32"/>
          <w:szCs w:val="32"/>
        </w:rPr>
        <w:t>参赛选手停止操作时，应保证设备的正常运行，比赛结束后，所有设备保持运行状态，不要拆、动硬件连接，确保设备正常运行和正常评分；</w:t>
      </w:r>
    </w:p>
    <w:p w14:paraId="3DFE7EB4"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3.</w:t>
      </w:r>
      <w:r w:rsidRPr="00CD165C">
        <w:rPr>
          <w:rFonts w:ascii="仿宋_GB2312" w:eastAsia="仿宋_GB2312" w:hAnsi="仿宋_GB2312" w:cs="仿宋_GB2312" w:hint="eastAsia"/>
          <w:color w:val="000000"/>
          <w:sz w:val="32"/>
          <w:szCs w:val="32"/>
        </w:rPr>
        <w:t>参赛选手应遵从安全规范操作，例如</w:t>
      </w:r>
      <w:r w:rsidRPr="00CD165C">
        <w:rPr>
          <w:rFonts w:ascii="仿宋_GB2312" w:eastAsia="仿宋_GB2312" w:hAnsi="仿宋_GB2312" w:cs="仿宋_GB2312"/>
          <w:color w:val="000000"/>
          <w:sz w:val="32"/>
          <w:szCs w:val="32"/>
        </w:rPr>
        <w:t>ESD</w:t>
      </w:r>
      <w:r w:rsidRPr="00CD165C">
        <w:rPr>
          <w:rFonts w:ascii="仿宋_GB2312" w:eastAsia="仿宋_GB2312" w:hAnsi="仿宋_GB2312" w:cs="仿宋_GB2312" w:hint="eastAsia"/>
          <w:color w:val="000000"/>
          <w:sz w:val="32"/>
          <w:szCs w:val="32"/>
        </w:rPr>
        <w:t>（静电放电）——静电放电无害环境下的设备用途、安全使用及储存；</w:t>
      </w:r>
    </w:p>
    <w:p w14:paraId="674F8479"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4.</w:t>
      </w:r>
      <w:r w:rsidRPr="00CD165C">
        <w:rPr>
          <w:rFonts w:ascii="仿宋_GB2312" w:eastAsia="仿宋_GB2312" w:hAnsi="仿宋_GB2312" w:cs="仿宋_GB2312" w:hint="eastAsia"/>
          <w:color w:val="000000"/>
          <w:sz w:val="32"/>
          <w:szCs w:val="32"/>
        </w:rPr>
        <w:t>参赛选手应保证设备和信息完整及安全。</w:t>
      </w:r>
    </w:p>
    <w:p w14:paraId="25174F54" w14:textId="77777777" w:rsid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5.</w:t>
      </w:r>
      <w:r w:rsidRPr="00CD165C">
        <w:rPr>
          <w:rFonts w:ascii="仿宋_GB2312" w:eastAsia="仿宋_GB2312" w:hAnsi="仿宋_GB2312" w:cs="仿宋_GB2312" w:hint="eastAsia"/>
          <w:color w:val="000000"/>
          <w:sz w:val="32"/>
          <w:szCs w:val="32"/>
        </w:rPr>
        <w:t>每个参赛单位必须为参赛选手办理比赛期间的意外伤害保险。</w:t>
      </w:r>
    </w:p>
    <w:p w14:paraId="6631B8F4" w14:textId="4E7978AC" w:rsidR="0034057B" w:rsidRDefault="00000000" w:rsidP="00CD165C">
      <w:pPr>
        <w:spacing w:afterLines="0" w:after="0" w:line="54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（二）赛事安全要求</w:t>
      </w:r>
    </w:p>
    <w:p w14:paraId="51FB3D20"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1.</w:t>
      </w:r>
      <w:r w:rsidRPr="00CD165C">
        <w:rPr>
          <w:rFonts w:ascii="仿宋_GB2312" w:eastAsia="仿宋_GB2312" w:hAnsi="仿宋_GB2312" w:cs="仿宋_GB2312" w:hint="eastAsia"/>
          <w:color w:val="000000"/>
          <w:sz w:val="32"/>
          <w:szCs w:val="32"/>
        </w:rPr>
        <w:t>禁止选手及所有参加赛事的人员携带任何有毒有害物品进入竞赛现场；</w:t>
      </w:r>
    </w:p>
    <w:p w14:paraId="2E64C566"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lastRenderedPageBreak/>
        <w:t>2.</w:t>
      </w:r>
      <w:r w:rsidRPr="00CD165C">
        <w:rPr>
          <w:rFonts w:ascii="仿宋_GB2312" w:eastAsia="仿宋_GB2312" w:hAnsi="仿宋_GB2312" w:cs="仿宋_GB2312" w:hint="eastAsia"/>
          <w:color w:val="000000"/>
          <w:sz w:val="32"/>
          <w:szCs w:val="32"/>
        </w:rPr>
        <w:t>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6AF5AC8C" w14:textId="77777777" w:rsidR="00CD165C" w:rsidRPr="00CD165C" w:rsidRDefault="00CD165C" w:rsidP="00CD165C">
      <w:pPr>
        <w:spacing w:afterLines="0" w:after="0" w:line="540" w:lineRule="exact"/>
        <w:ind w:firstLineChars="200" w:firstLine="640"/>
        <w:rPr>
          <w:rFonts w:ascii="仿宋_GB2312" w:eastAsia="仿宋_GB2312" w:hAnsi="仿宋_GB2312" w:cs="仿宋_GB2312" w:hint="eastAsia"/>
          <w:color w:val="000000"/>
          <w:sz w:val="32"/>
          <w:szCs w:val="32"/>
        </w:rPr>
      </w:pPr>
      <w:r w:rsidRPr="00CD165C">
        <w:rPr>
          <w:rFonts w:ascii="仿宋_GB2312" w:eastAsia="仿宋_GB2312" w:hAnsi="仿宋_GB2312" w:cs="仿宋_GB2312"/>
          <w:color w:val="000000"/>
          <w:sz w:val="32"/>
          <w:szCs w:val="32"/>
        </w:rPr>
        <w:t>3.</w:t>
      </w:r>
      <w:r w:rsidRPr="00CD165C">
        <w:rPr>
          <w:rFonts w:ascii="仿宋_GB2312" w:eastAsia="仿宋_GB2312" w:hAnsi="仿宋_GB2312" w:cs="仿宋_GB2312" w:hint="eastAsia"/>
          <w:color w:val="000000"/>
          <w:sz w:val="32"/>
          <w:szCs w:val="32"/>
        </w:rPr>
        <w:t>赛场须配备相应医疗人员和急救人员，并备有相应急救设施。</w:t>
      </w:r>
    </w:p>
    <w:p w14:paraId="4CE5CF7E" w14:textId="6DE97689" w:rsidR="00CD165C" w:rsidRDefault="00CD165C" w:rsidP="00CD165C">
      <w:pPr>
        <w:spacing w:afterLines="0" w:after="0" w:line="540" w:lineRule="exact"/>
        <w:ind w:firstLineChars="200" w:firstLine="640"/>
        <w:rPr>
          <w:rFonts w:ascii="仿宋_GB2312" w:eastAsia="仿宋_GB2312" w:hAnsi="仿宋_GB2312" w:cs="仿宋_GB2312"/>
          <w:color w:val="000000"/>
          <w:sz w:val="32"/>
          <w:szCs w:val="32"/>
        </w:rPr>
      </w:pPr>
      <w:r w:rsidRPr="00CD165C">
        <w:rPr>
          <w:rFonts w:ascii="仿宋_GB2312" w:eastAsia="仿宋_GB2312" w:hAnsi="仿宋_GB2312" w:cs="仿宋_GB2312"/>
          <w:color w:val="000000"/>
          <w:sz w:val="32"/>
          <w:szCs w:val="32"/>
        </w:rPr>
        <w:t>4.</w:t>
      </w:r>
      <w:r w:rsidRPr="00CD165C">
        <w:rPr>
          <w:rFonts w:ascii="仿宋_GB2312" w:eastAsia="仿宋_GB2312" w:hAnsi="仿宋_GB2312" w:cs="仿宋_GB2312" w:hint="eastAsia"/>
          <w:color w:val="000000"/>
          <w:sz w:val="32"/>
          <w:szCs w:val="32"/>
        </w:rPr>
        <w:t>赛场设置不间断电源（</w:t>
      </w:r>
      <w:r w:rsidRPr="00CD165C">
        <w:rPr>
          <w:rFonts w:ascii="仿宋_GB2312" w:eastAsia="仿宋_GB2312" w:hAnsi="仿宋_GB2312" w:cs="仿宋_GB2312"/>
          <w:color w:val="000000"/>
          <w:sz w:val="32"/>
          <w:szCs w:val="32"/>
        </w:rPr>
        <w:t>UPS</w:t>
      </w:r>
      <w:r w:rsidRPr="00CD165C">
        <w:rPr>
          <w:rFonts w:ascii="仿宋_GB2312" w:eastAsia="仿宋_GB2312" w:hAnsi="仿宋_GB2312" w:cs="仿宋_GB2312" w:hint="eastAsia"/>
          <w:color w:val="000000"/>
          <w:sz w:val="32"/>
          <w:szCs w:val="32"/>
        </w:rPr>
        <w:t>），对于关键设备如计时系统、通讯设备等，</w:t>
      </w:r>
      <w:r w:rsidRPr="00CD165C">
        <w:rPr>
          <w:rFonts w:ascii="仿宋_GB2312" w:eastAsia="仿宋_GB2312" w:hAnsi="仿宋_GB2312" w:cs="仿宋_GB2312"/>
          <w:color w:val="000000"/>
          <w:sz w:val="32"/>
          <w:szCs w:val="32"/>
        </w:rPr>
        <w:t>UPS</w:t>
      </w:r>
      <w:r w:rsidRPr="00CD165C">
        <w:rPr>
          <w:rFonts w:ascii="仿宋_GB2312" w:eastAsia="仿宋_GB2312" w:hAnsi="仿宋_GB2312" w:cs="仿宋_GB2312" w:hint="eastAsia"/>
          <w:color w:val="000000"/>
          <w:sz w:val="32"/>
          <w:szCs w:val="32"/>
        </w:rPr>
        <w:t>可以在主电源断电后提供短时间的紧急电力，以保障赛事的顺利进行或数据的保存。</w:t>
      </w:r>
    </w:p>
    <w:p w14:paraId="0C9C81D6" w14:textId="0B67C4CB" w:rsidR="00876E10" w:rsidRDefault="00876E10" w:rsidP="00876E10">
      <w:pPr>
        <w:spacing w:afterLines="0" w:after="0" w:line="240" w:lineRule="auto"/>
        <w:rPr>
          <w:rFonts w:ascii="仿宋_GB2312" w:eastAsia="仿宋_GB2312" w:hAnsi="仿宋_GB2312" w:cs="仿宋_GB2312" w:hint="eastAsia"/>
          <w:color w:val="000000"/>
          <w:sz w:val="32"/>
          <w:szCs w:val="32"/>
        </w:rPr>
      </w:pPr>
      <w:r w:rsidRPr="00876E10">
        <w:rPr>
          <w:rFonts w:ascii="仿宋_GB2312" w:eastAsia="仿宋_GB2312" w:hAnsi="仿宋_GB2312" w:cs="仿宋_GB2312"/>
          <w:noProof/>
          <w:color w:val="000000"/>
          <w:sz w:val="32"/>
          <w:szCs w:val="32"/>
        </w:rPr>
        <w:lastRenderedPageBreak/>
        <w:drawing>
          <wp:inline distT="0" distB="0" distL="0" distR="0" wp14:anchorId="6F0B16C0" wp14:editId="142FDE17">
            <wp:extent cx="4631690" cy="8229600"/>
            <wp:effectExtent l="0" t="0" r="0" b="0"/>
            <wp:docPr id="353315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1690" cy="8229600"/>
                    </a:xfrm>
                    <a:prstGeom prst="rect">
                      <a:avLst/>
                    </a:prstGeom>
                    <a:noFill/>
                    <a:ln>
                      <a:noFill/>
                    </a:ln>
                  </pic:spPr>
                </pic:pic>
              </a:graphicData>
            </a:graphic>
          </wp:inline>
        </w:drawing>
      </w:r>
    </w:p>
    <w:sectPr w:rsidR="00876E10">
      <w:footerReference w:type="default" r:id="rId19"/>
      <w:pgSz w:w="12240" w:h="15840"/>
      <w:pgMar w:top="1440" w:right="1797" w:bottom="1440" w:left="179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9584" w14:textId="77777777" w:rsidR="00CF3CB3" w:rsidRDefault="00CF3CB3">
      <w:pPr>
        <w:spacing w:after="48" w:line="240" w:lineRule="auto"/>
      </w:pPr>
      <w:r>
        <w:separator/>
      </w:r>
    </w:p>
  </w:endnote>
  <w:endnote w:type="continuationSeparator" w:id="0">
    <w:p w14:paraId="32631E04" w14:textId="77777777" w:rsidR="00CF3CB3" w:rsidRDefault="00CF3CB3">
      <w:pPr>
        <w:spacing w:after="4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_GBK">
    <w:altName w:val="微软雅黑"/>
    <w:charset w:val="86"/>
    <w:family w:val="auto"/>
    <w:pitch w:val="default"/>
    <w:sig w:usb0="00000000" w:usb1="00000000" w:usb2="0000000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0194" w14:textId="77777777" w:rsidR="00CD165C" w:rsidRDefault="00CD165C">
    <w:pPr>
      <w:pStyle w:val="af0"/>
      <w:spacing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C693" w14:textId="77777777" w:rsidR="00CD165C" w:rsidRDefault="00CD165C">
    <w:pPr>
      <w:pStyle w:val="af0"/>
      <w:spacing w:after="4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6C0D" w14:textId="77777777" w:rsidR="00CD165C" w:rsidRDefault="00CD165C">
    <w:pPr>
      <w:pStyle w:val="af0"/>
      <w:spacing w:after="4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5EB9" w14:textId="77777777" w:rsidR="0034057B" w:rsidRDefault="0034057B">
    <w:pPr>
      <w:pStyle w:val="af0"/>
      <w:spacing w:after="4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FA84" w14:textId="77777777" w:rsidR="0034057B" w:rsidRDefault="0034057B">
    <w:pPr>
      <w:pStyle w:val="af0"/>
      <w:spacing w:after="4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327486"/>
      <w:docPartObj>
        <w:docPartGallery w:val="Page Numbers (Bottom of Page)"/>
        <w:docPartUnique/>
      </w:docPartObj>
    </w:sdtPr>
    <w:sdtContent>
      <w:p w14:paraId="5EE738E4" w14:textId="48930B6B" w:rsidR="000057D9" w:rsidRDefault="000057D9">
        <w:pPr>
          <w:pStyle w:val="af0"/>
          <w:spacing w:after="48"/>
          <w:ind w:left="960"/>
          <w:jc w:val="center"/>
        </w:pPr>
        <w:r>
          <w:fldChar w:fldCharType="begin"/>
        </w:r>
        <w:r>
          <w:instrText>PAGE   \* MERGEFORMAT</w:instrText>
        </w:r>
        <w:r>
          <w:fldChar w:fldCharType="separate"/>
        </w:r>
        <w:r>
          <w:rPr>
            <w:lang w:val="zh-CN"/>
          </w:rPr>
          <w:t>2</w:t>
        </w:r>
        <w:r>
          <w:fldChar w:fldCharType="end"/>
        </w:r>
      </w:p>
    </w:sdtContent>
  </w:sdt>
  <w:p w14:paraId="794C2171" w14:textId="1FF396A7" w:rsidR="0034057B" w:rsidRDefault="0034057B">
    <w:pPr>
      <w:pStyle w:val="af0"/>
      <w:spacing w:after="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8D40" w14:textId="77777777" w:rsidR="00CF3CB3" w:rsidRDefault="00CF3CB3">
      <w:pPr>
        <w:spacing w:after="48"/>
      </w:pPr>
      <w:r>
        <w:separator/>
      </w:r>
    </w:p>
  </w:footnote>
  <w:footnote w:type="continuationSeparator" w:id="0">
    <w:p w14:paraId="1734BD8D" w14:textId="77777777" w:rsidR="00CF3CB3" w:rsidRDefault="00CF3CB3">
      <w:pPr>
        <w:spacing w:after="4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B436" w14:textId="77777777" w:rsidR="00CD165C" w:rsidRDefault="00CD165C">
    <w:pPr>
      <w:pStyle w:val="af2"/>
      <w:spacing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EC53" w14:textId="77777777" w:rsidR="00CD165C" w:rsidRDefault="00CD165C">
    <w:pPr>
      <w:pStyle w:val="af2"/>
      <w:spacing w:after="4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5070" w14:textId="77777777" w:rsidR="00CD165C" w:rsidRDefault="00CD165C">
    <w:pPr>
      <w:pStyle w:val="af2"/>
      <w:spacing w:after="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1233F"/>
    <w:multiLevelType w:val="singleLevel"/>
    <w:tmpl w:val="8361233F"/>
    <w:lvl w:ilvl="0">
      <w:start w:val="1"/>
      <w:numFmt w:val="decimal"/>
      <w:pStyle w:val="3"/>
      <w:lvlText w:val="%1."/>
      <w:lvlJc w:val="left"/>
      <w:pPr>
        <w:tabs>
          <w:tab w:val="left" w:pos="1200"/>
        </w:tabs>
        <w:ind w:left="1200" w:hanging="360"/>
      </w:pPr>
    </w:lvl>
  </w:abstractNum>
  <w:abstractNum w:abstractNumId="1" w15:restartNumberingAfterBreak="0">
    <w:nsid w:val="ABF770C0"/>
    <w:multiLevelType w:val="singleLevel"/>
    <w:tmpl w:val="ABF770C0"/>
    <w:lvl w:ilvl="0">
      <w:start w:val="1"/>
      <w:numFmt w:val="decimal"/>
      <w:pStyle w:val="a"/>
      <w:lvlText w:val="%1."/>
      <w:lvlJc w:val="left"/>
      <w:pPr>
        <w:tabs>
          <w:tab w:val="left" w:pos="360"/>
        </w:tabs>
        <w:ind w:left="360" w:hanging="360"/>
      </w:pPr>
    </w:lvl>
  </w:abstractNum>
  <w:abstractNum w:abstractNumId="2" w15:restartNumberingAfterBreak="0">
    <w:nsid w:val="B1D620FE"/>
    <w:multiLevelType w:val="singleLevel"/>
    <w:tmpl w:val="B1D620FE"/>
    <w:lvl w:ilvl="0">
      <w:start w:val="1"/>
      <w:numFmt w:val="bullet"/>
      <w:pStyle w:val="30"/>
      <w:lvlText w:val=""/>
      <w:lvlJc w:val="left"/>
      <w:pPr>
        <w:tabs>
          <w:tab w:val="left" w:pos="1200"/>
        </w:tabs>
        <w:ind w:left="1200" w:hanging="360"/>
      </w:pPr>
      <w:rPr>
        <w:rFonts w:ascii="Wingdings" w:hAnsi="Wingdings" w:hint="default"/>
      </w:rPr>
    </w:lvl>
  </w:abstractNum>
  <w:abstractNum w:abstractNumId="3" w15:restartNumberingAfterBreak="0">
    <w:nsid w:val="FF98A679"/>
    <w:multiLevelType w:val="singleLevel"/>
    <w:tmpl w:val="FF98A679"/>
    <w:lvl w:ilvl="0">
      <w:start w:val="1"/>
      <w:numFmt w:val="decimal"/>
      <w:pStyle w:val="2"/>
      <w:lvlText w:val="%1."/>
      <w:lvlJc w:val="left"/>
      <w:pPr>
        <w:tabs>
          <w:tab w:val="left" w:pos="780"/>
        </w:tabs>
        <w:ind w:left="780" w:hanging="360"/>
      </w:pPr>
    </w:lvl>
  </w:abstractNum>
  <w:abstractNum w:abstractNumId="4" w15:restartNumberingAfterBreak="0">
    <w:nsid w:val="05461F7D"/>
    <w:multiLevelType w:val="singleLevel"/>
    <w:tmpl w:val="05461F7D"/>
    <w:lvl w:ilvl="0">
      <w:start w:val="1"/>
      <w:numFmt w:val="bullet"/>
      <w:pStyle w:val="20"/>
      <w:lvlText w:val=""/>
      <w:lvlJc w:val="left"/>
      <w:pPr>
        <w:tabs>
          <w:tab w:val="left" w:pos="780"/>
        </w:tabs>
        <w:ind w:left="780" w:hanging="360"/>
      </w:pPr>
      <w:rPr>
        <w:rFonts w:ascii="Wingdings" w:hAnsi="Wingdings" w:hint="default"/>
      </w:rPr>
    </w:lvl>
  </w:abstractNum>
  <w:abstractNum w:abstractNumId="5" w15:restartNumberingAfterBreak="0">
    <w:nsid w:val="1B0F23C0"/>
    <w:multiLevelType w:val="singleLevel"/>
    <w:tmpl w:val="1B0F23C0"/>
    <w:lvl w:ilvl="0">
      <w:start w:val="1"/>
      <w:numFmt w:val="bullet"/>
      <w:pStyle w:val="a0"/>
      <w:lvlText w:val=""/>
      <w:lvlJc w:val="left"/>
      <w:pPr>
        <w:tabs>
          <w:tab w:val="left" w:pos="360"/>
        </w:tabs>
        <w:ind w:left="360" w:hanging="360"/>
      </w:pPr>
      <w:rPr>
        <w:rFonts w:ascii="Wingdings" w:hAnsi="Wingdings" w:hint="default"/>
      </w:rPr>
    </w:lvl>
  </w:abstractNum>
  <w:num w:numId="1" w16cid:durableId="254944354">
    <w:abstractNumId w:val="3"/>
  </w:num>
  <w:num w:numId="2" w16cid:durableId="1120105786">
    <w:abstractNumId w:val="1"/>
  </w:num>
  <w:num w:numId="3" w16cid:durableId="1605188651">
    <w:abstractNumId w:val="5"/>
  </w:num>
  <w:num w:numId="4" w16cid:durableId="276524001">
    <w:abstractNumId w:val="2"/>
  </w:num>
  <w:num w:numId="5" w16cid:durableId="711854940">
    <w:abstractNumId w:val="0"/>
  </w:num>
  <w:num w:numId="6" w16cid:durableId="1364213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7D9"/>
    <w:rsid w:val="00034616"/>
    <w:rsid w:val="0006063C"/>
    <w:rsid w:val="000B5F4D"/>
    <w:rsid w:val="0015074B"/>
    <w:rsid w:val="0029639D"/>
    <w:rsid w:val="00326F90"/>
    <w:rsid w:val="0034057B"/>
    <w:rsid w:val="00382644"/>
    <w:rsid w:val="003C7D22"/>
    <w:rsid w:val="00493D3C"/>
    <w:rsid w:val="0076470D"/>
    <w:rsid w:val="00876E10"/>
    <w:rsid w:val="00AA1D8D"/>
    <w:rsid w:val="00AC2A75"/>
    <w:rsid w:val="00B25A49"/>
    <w:rsid w:val="00B47730"/>
    <w:rsid w:val="00CB0664"/>
    <w:rsid w:val="00CD165C"/>
    <w:rsid w:val="00CF3CB3"/>
    <w:rsid w:val="00D63B17"/>
    <w:rsid w:val="00E428FD"/>
    <w:rsid w:val="00FC693F"/>
    <w:rsid w:val="0CC13A9C"/>
    <w:rsid w:val="12990A73"/>
    <w:rsid w:val="1B2E6115"/>
    <w:rsid w:val="28F84733"/>
    <w:rsid w:val="328C1A4A"/>
    <w:rsid w:val="3C320CA1"/>
    <w:rsid w:val="4DA923AC"/>
    <w:rsid w:val="54CB78B2"/>
    <w:rsid w:val="5E1C5D14"/>
    <w:rsid w:val="5E3D2536"/>
    <w:rsid w:val="76AB6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60D96AA"/>
  <w14:defaultImageDpi w14:val="300"/>
  <w15:docId w15:val="{56911F7E-19ED-4968-AC8A-476A1220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uiPriority="0" w:qFormat="1"/>
    <w:lsdException w:name="toa heading" w:semiHidden="1" w:unhideWhenUsed="1"/>
    <w:lsdException w:name="List" w:uiPriority="0"/>
    <w:lsdException w:name="List Bullet" w:uiPriority="0" w:qFormat="1"/>
    <w:lsdException w:name="List Number" w:uiPriority="0" w:qFormat="1"/>
    <w:lsdException w:name="List 2" w:uiPriority="0"/>
    <w:lsdException w:name="List 3" w:uiPriority="0" w:qFormat="1"/>
    <w:lsdException w:name="List 4" w:semiHidden="1" w:unhideWhenUsed="1"/>
    <w:lsdException w:name="List 5" w:semiHidden="1" w:unhideWhenUsed="1"/>
    <w:lsdException w:name="List Bullet 2" w:uiPriority="0" w:qFormat="1"/>
    <w:lsdException w:name="List Bullet 3" w:uiPriority="0" w:qFormat="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0" w:qFormat="1"/>
    <w:lsdException w:name="Body Text" w:uiPriority="0" w:qFormat="1"/>
    <w:lsdException w:name="Body Text Indent" w:semiHidden="1" w:unhideWhenUsed="1"/>
    <w:lsdException w:name="List Continue" w:uiPriority="0" w:qFormat="1"/>
    <w:lsdException w:name="List Continue 2" w:uiPriority="0" w:qFormat="1"/>
    <w:lsdException w:name="List Continue 3" w:uiPriority="0"/>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qFormat="1"/>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adjustRightInd w:val="0"/>
      <w:snapToGrid w:val="0"/>
      <w:spacing w:afterLines="20" w:after="20" w:line="288" w:lineRule="auto"/>
      <w:jc w:val="both"/>
    </w:pPr>
    <w:rPr>
      <w:kern w:val="2"/>
      <w:sz w:val="24"/>
      <w:szCs w:val="24"/>
    </w:rPr>
  </w:style>
  <w:style w:type="paragraph" w:styleId="1">
    <w:name w:val="heading 1"/>
    <w:basedOn w:val="a1"/>
    <w:next w:val="a1"/>
    <w:link w:val="10"/>
    <w:qFormat/>
    <w:pPr>
      <w:keepNext/>
      <w:keepLines/>
      <w:spacing w:afterLines="80" w:after="80"/>
      <w:outlineLvl w:val="0"/>
    </w:pPr>
    <w:rPr>
      <w:b/>
      <w:bCs/>
      <w:kern w:val="44"/>
      <w:sz w:val="36"/>
      <w:szCs w:val="36"/>
    </w:rPr>
  </w:style>
  <w:style w:type="paragraph" w:styleId="21">
    <w:name w:val="heading 2"/>
    <w:basedOn w:val="a1"/>
    <w:next w:val="a1"/>
    <w:link w:val="22"/>
    <w:unhideWhenUsed/>
    <w:qFormat/>
    <w:pPr>
      <w:keepNext/>
      <w:keepLines/>
      <w:spacing w:beforeLines="120" w:before="120" w:afterLines="80" w:after="80"/>
      <w:outlineLvl w:val="1"/>
    </w:pPr>
    <w:rPr>
      <w:b/>
      <w:bCs/>
      <w:sz w:val="32"/>
      <w:szCs w:val="32"/>
    </w:rPr>
  </w:style>
  <w:style w:type="paragraph" w:styleId="31">
    <w:name w:val="heading 3"/>
    <w:basedOn w:val="a1"/>
    <w:next w:val="a1"/>
    <w:link w:val="32"/>
    <w:unhideWhenUsed/>
    <w:qFormat/>
    <w:pPr>
      <w:keepNext/>
      <w:keepLines/>
      <w:spacing w:beforeLines="120" w:before="120" w:afterLines="80" w:after="80"/>
      <w:outlineLvl w:val="2"/>
    </w:pPr>
    <w:rPr>
      <w:b/>
      <w:bCs/>
      <w:sz w:val="30"/>
      <w:szCs w:val="30"/>
    </w:rPr>
  </w:style>
  <w:style w:type="paragraph" w:styleId="4">
    <w:name w:val="heading 4"/>
    <w:basedOn w:val="a1"/>
    <w:next w:val="a1"/>
    <w:link w:val="40"/>
    <w:unhideWhenUsed/>
    <w:qFormat/>
    <w:pPr>
      <w:keepNext/>
      <w:keepLines/>
      <w:spacing w:beforeLines="120" w:before="120" w:afterLines="80" w:after="80"/>
      <w:outlineLvl w:val="3"/>
    </w:pPr>
    <w:rPr>
      <w:b/>
      <w:bCs/>
      <w:sz w:val="28"/>
      <w:szCs w:val="28"/>
    </w:rPr>
  </w:style>
  <w:style w:type="paragraph" w:styleId="5">
    <w:name w:val="heading 5"/>
    <w:basedOn w:val="a1"/>
    <w:next w:val="a2"/>
    <w:link w:val="50"/>
    <w:unhideWhenUsed/>
    <w:qFormat/>
    <w:pPr>
      <w:keepNext/>
      <w:keepLines/>
      <w:spacing w:beforeLines="120" w:before="120" w:afterLines="80" w:after="80"/>
      <w:outlineLvl w:val="4"/>
    </w:pPr>
    <w:rPr>
      <w:b/>
      <w:bCs/>
    </w:rPr>
  </w:style>
  <w:style w:type="paragraph" w:styleId="6">
    <w:name w:val="heading 6"/>
    <w:basedOn w:val="a1"/>
    <w:next w:val="a2"/>
    <w:link w:val="60"/>
    <w:unhideWhenUsed/>
    <w:qFormat/>
    <w:pPr>
      <w:keepNext/>
      <w:keepLines/>
      <w:spacing w:beforeLines="120" w:before="120" w:afterLines="80" w:after="80"/>
      <w:outlineLvl w:val="5"/>
    </w:pPr>
    <w:rPr>
      <w:b/>
      <w:bCs/>
    </w:rPr>
  </w:style>
  <w:style w:type="paragraph" w:styleId="7">
    <w:name w:val="heading 7"/>
    <w:basedOn w:val="a1"/>
    <w:next w:val="a2"/>
    <w:link w:val="70"/>
    <w:unhideWhenUsed/>
    <w:qFormat/>
    <w:pPr>
      <w:keepNext/>
      <w:keepLines/>
      <w:spacing w:beforeLines="120" w:before="120" w:afterLines="80" w:after="80"/>
      <w:outlineLvl w:val="6"/>
    </w:pPr>
    <w:rPr>
      <w:b/>
      <w:bCs/>
    </w:rPr>
  </w:style>
  <w:style w:type="paragraph" w:styleId="8">
    <w:name w:val="heading 8"/>
    <w:basedOn w:val="a1"/>
    <w:next w:val="a2"/>
    <w:link w:val="80"/>
    <w:unhideWhenUsed/>
    <w:qFormat/>
    <w:pPr>
      <w:keepNext/>
      <w:keepLines/>
      <w:spacing w:beforeLines="120" w:before="120" w:afterLines="80" w:after="80"/>
      <w:outlineLvl w:val="7"/>
    </w:pPr>
    <w:rPr>
      <w:b/>
      <w:bCs/>
    </w:rPr>
  </w:style>
  <w:style w:type="paragraph" w:styleId="9">
    <w:name w:val="heading 9"/>
    <w:basedOn w:val="a1"/>
    <w:next w:val="a2"/>
    <w:link w:val="90"/>
    <w:unhideWhenUsed/>
    <w:qFormat/>
    <w:pPr>
      <w:keepNext/>
      <w:keepLines/>
      <w:spacing w:beforeLines="120" w:before="120" w:afterLines="80" w:after="80"/>
      <w:outlineLvl w:val="8"/>
    </w:pPr>
    <w:rPr>
      <w:b/>
      <w:b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macro"/>
    <w:link w:val="a7"/>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Times New Roman"/>
      <w:kern w:val="2"/>
      <w:sz w:val="24"/>
    </w:rPr>
  </w:style>
  <w:style w:type="paragraph" w:styleId="a2">
    <w:name w:val="Body Text"/>
    <w:basedOn w:val="a1"/>
    <w:link w:val="a8"/>
    <w:qFormat/>
    <w:pPr>
      <w:spacing w:afterLines="0" w:after="120"/>
    </w:pPr>
  </w:style>
  <w:style w:type="paragraph" w:styleId="33">
    <w:name w:val="List 3"/>
    <w:basedOn w:val="a1"/>
    <w:qFormat/>
    <w:pPr>
      <w:ind w:leftChars="400" w:left="100" w:hangingChars="200" w:hanging="200"/>
    </w:pPr>
  </w:style>
  <w:style w:type="paragraph" w:styleId="2">
    <w:name w:val="List Number 2"/>
    <w:basedOn w:val="a1"/>
    <w:qFormat/>
    <w:pPr>
      <w:numPr>
        <w:numId w:val="1"/>
      </w:numPr>
    </w:pPr>
  </w:style>
  <w:style w:type="paragraph" w:styleId="a">
    <w:name w:val="List Number"/>
    <w:basedOn w:val="a1"/>
    <w:qFormat/>
    <w:pPr>
      <w:numPr>
        <w:numId w:val="2"/>
      </w:numPr>
    </w:pPr>
  </w:style>
  <w:style w:type="paragraph" w:styleId="a9">
    <w:name w:val="caption"/>
    <w:basedOn w:val="a1"/>
    <w:next w:val="a1"/>
    <w:unhideWhenUsed/>
    <w:qFormat/>
    <w:rPr>
      <w:rFonts w:cs="Times New Roman"/>
    </w:rPr>
  </w:style>
  <w:style w:type="paragraph" w:styleId="a0">
    <w:name w:val="List Bullet"/>
    <w:basedOn w:val="a1"/>
    <w:qFormat/>
    <w:pPr>
      <w:numPr>
        <w:numId w:val="3"/>
      </w:numPr>
    </w:pPr>
  </w:style>
  <w:style w:type="paragraph" w:styleId="aa">
    <w:name w:val="annotation text"/>
    <w:basedOn w:val="a1"/>
    <w:qFormat/>
    <w:pPr>
      <w:jc w:val="left"/>
    </w:pPr>
    <w:rPr>
      <w:color w:val="262626" w:themeColor="text1" w:themeTint="D9"/>
    </w:rPr>
  </w:style>
  <w:style w:type="paragraph" w:styleId="ab">
    <w:name w:val="Salutation"/>
    <w:basedOn w:val="a1"/>
    <w:next w:val="a1"/>
    <w:qFormat/>
  </w:style>
  <w:style w:type="paragraph" w:styleId="34">
    <w:name w:val="Body Text 3"/>
    <w:basedOn w:val="a1"/>
    <w:link w:val="35"/>
    <w:qFormat/>
    <w:pPr>
      <w:spacing w:afterLines="0" w:after="120"/>
    </w:pPr>
    <w:rPr>
      <w:sz w:val="16"/>
    </w:rPr>
  </w:style>
  <w:style w:type="paragraph" w:styleId="30">
    <w:name w:val="List Bullet 3"/>
    <w:basedOn w:val="a1"/>
    <w:qFormat/>
    <w:pPr>
      <w:numPr>
        <w:numId w:val="4"/>
      </w:numPr>
    </w:pPr>
  </w:style>
  <w:style w:type="paragraph" w:styleId="3">
    <w:name w:val="List Number 3"/>
    <w:basedOn w:val="a1"/>
    <w:qFormat/>
    <w:pPr>
      <w:numPr>
        <w:numId w:val="5"/>
      </w:numPr>
    </w:pPr>
  </w:style>
  <w:style w:type="paragraph" w:styleId="23">
    <w:name w:val="List 2"/>
    <w:basedOn w:val="a1"/>
    <w:pPr>
      <w:ind w:leftChars="200" w:left="100" w:hangingChars="200" w:hanging="200"/>
    </w:pPr>
  </w:style>
  <w:style w:type="paragraph" w:styleId="ac">
    <w:name w:val="List Continue"/>
    <w:basedOn w:val="a1"/>
    <w:qFormat/>
    <w:pPr>
      <w:spacing w:afterLines="0" w:after="120"/>
      <w:ind w:leftChars="200" w:left="420"/>
    </w:pPr>
  </w:style>
  <w:style w:type="paragraph" w:styleId="20">
    <w:name w:val="List Bullet 2"/>
    <w:basedOn w:val="a1"/>
    <w:qFormat/>
    <w:pPr>
      <w:numPr>
        <w:numId w:val="6"/>
      </w:numPr>
    </w:pPr>
  </w:style>
  <w:style w:type="paragraph" w:styleId="TOC3">
    <w:name w:val="toc 3"/>
    <w:basedOn w:val="a1"/>
    <w:next w:val="a1"/>
    <w:qFormat/>
    <w:pPr>
      <w:ind w:leftChars="400" w:left="840"/>
    </w:pPr>
  </w:style>
  <w:style w:type="paragraph" w:styleId="ad">
    <w:name w:val="Date"/>
    <w:basedOn w:val="a1"/>
    <w:next w:val="a1"/>
    <w:qFormat/>
    <w:pPr>
      <w:jc w:val="right"/>
    </w:pPr>
    <w:rPr>
      <w:color w:val="262626" w:themeColor="text1" w:themeTint="D9"/>
    </w:rPr>
  </w:style>
  <w:style w:type="paragraph" w:styleId="ae">
    <w:name w:val="endnote text"/>
    <w:basedOn w:val="a1"/>
    <w:qFormat/>
    <w:pPr>
      <w:jc w:val="left"/>
    </w:pPr>
    <w:rPr>
      <w:color w:val="262626" w:themeColor="text1" w:themeTint="D9"/>
    </w:rPr>
  </w:style>
  <w:style w:type="paragraph" w:styleId="af">
    <w:name w:val="Balloon Text"/>
    <w:basedOn w:val="a1"/>
    <w:qFormat/>
    <w:rPr>
      <w:sz w:val="18"/>
      <w:szCs w:val="18"/>
    </w:rPr>
  </w:style>
  <w:style w:type="paragraph" w:styleId="af0">
    <w:name w:val="footer"/>
    <w:basedOn w:val="a1"/>
    <w:link w:val="af1"/>
    <w:uiPriority w:val="99"/>
    <w:qFormat/>
    <w:pPr>
      <w:tabs>
        <w:tab w:val="center" w:pos="4153"/>
        <w:tab w:val="right" w:pos="8306"/>
      </w:tabs>
      <w:jc w:val="left"/>
    </w:pPr>
    <w:rPr>
      <w:sz w:val="18"/>
      <w:szCs w:val="18"/>
    </w:rPr>
  </w:style>
  <w:style w:type="paragraph" w:styleId="af2">
    <w:name w:val="header"/>
    <w:basedOn w:val="a1"/>
    <w:link w:val="af3"/>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szCs w:val="18"/>
    </w:rPr>
  </w:style>
  <w:style w:type="paragraph" w:styleId="af4">
    <w:name w:val="Signature"/>
    <w:basedOn w:val="a1"/>
    <w:qFormat/>
    <w:pPr>
      <w:jc w:val="right"/>
    </w:pPr>
    <w:rPr>
      <w:color w:val="262626" w:themeColor="text1" w:themeTint="D9"/>
    </w:rPr>
  </w:style>
  <w:style w:type="paragraph" w:styleId="TOC1">
    <w:name w:val="toc 1"/>
    <w:basedOn w:val="a1"/>
    <w:next w:val="a1"/>
    <w:qFormat/>
  </w:style>
  <w:style w:type="paragraph" w:styleId="af5">
    <w:name w:val="Subtitle"/>
    <w:basedOn w:val="a1"/>
    <w:next w:val="a2"/>
    <w:link w:val="af6"/>
    <w:qFormat/>
    <w:pPr>
      <w:spacing w:before="240" w:afterLines="0" w:after="60" w:line="312" w:lineRule="auto"/>
      <w:jc w:val="center"/>
      <w:outlineLvl w:val="1"/>
    </w:pPr>
    <w:rPr>
      <w:rFonts w:asciiTheme="majorHAnsi" w:eastAsiaTheme="majorEastAsia" w:hAnsiTheme="majorHAnsi"/>
      <w:b/>
      <w:kern w:val="28"/>
      <w:sz w:val="32"/>
      <w:szCs w:val="32"/>
    </w:rPr>
  </w:style>
  <w:style w:type="paragraph" w:styleId="af7">
    <w:name w:val="List"/>
    <w:basedOn w:val="a1"/>
    <w:pPr>
      <w:ind w:left="200" w:hangingChars="200" w:hanging="200"/>
    </w:pPr>
  </w:style>
  <w:style w:type="paragraph" w:styleId="af8">
    <w:name w:val="footnote text"/>
    <w:basedOn w:val="a1"/>
    <w:qFormat/>
    <w:pPr>
      <w:jc w:val="left"/>
    </w:pPr>
  </w:style>
  <w:style w:type="paragraph" w:styleId="TOC2">
    <w:name w:val="toc 2"/>
    <w:basedOn w:val="a1"/>
    <w:next w:val="a1"/>
    <w:qFormat/>
    <w:pPr>
      <w:ind w:leftChars="200" w:left="420"/>
    </w:pPr>
  </w:style>
  <w:style w:type="paragraph" w:styleId="24">
    <w:name w:val="Body Text 2"/>
    <w:basedOn w:val="a1"/>
    <w:link w:val="25"/>
    <w:qFormat/>
    <w:pPr>
      <w:spacing w:afterLines="0" w:after="120" w:line="480" w:lineRule="auto"/>
    </w:pPr>
  </w:style>
  <w:style w:type="paragraph" w:styleId="26">
    <w:name w:val="List Continue 2"/>
    <w:basedOn w:val="a1"/>
    <w:qFormat/>
    <w:pPr>
      <w:spacing w:afterLines="0" w:after="120"/>
      <w:ind w:leftChars="400" w:left="840"/>
    </w:pPr>
  </w:style>
  <w:style w:type="paragraph" w:styleId="HTML">
    <w:name w:val="HTML Preformatted"/>
    <w:basedOn w:val="a1"/>
    <w:qFormat/>
    <w:rPr>
      <w:rFonts w:ascii="Courier New" w:hAnsi="Courier New"/>
      <w:sz w:val="20"/>
    </w:rPr>
  </w:style>
  <w:style w:type="paragraph" w:styleId="af9">
    <w:name w:val="Normal (Web)"/>
    <w:basedOn w:val="a1"/>
    <w:qFormat/>
  </w:style>
  <w:style w:type="paragraph" w:styleId="36">
    <w:name w:val="List Continue 3"/>
    <w:basedOn w:val="a1"/>
    <w:pPr>
      <w:spacing w:afterLines="0" w:after="120"/>
      <w:ind w:leftChars="600" w:left="1260"/>
    </w:pPr>
  </w:style>
  <w:style w:type="paragraph" w:styleId="afa">
    <w:name w:val="Title"/>
    <w:basedOn w:val="a1"/>
    <w:link w:val="afb"/>
    <w:qFormat/>
    <w:pPr>
      <w:spacing w:afterLines="100" w:after="100"/>
      <w:jc w:val="center"/>
      <w:outlineLvl w:val="0"/>
    </w:pPr>
    <w:rPr>
      <w:rFonts w:asciiTheme="majorHAnsi" w:eastAsiaTheme="majorEastAsia" w:hAnsiTheme="majorHAnsi"/>
      <w:b/>
      <w:bCs/>
      <w:sz w:val="44"/>
      <w:szCs w:val="44"/>
    </w:rPr>
  </w:style>
  <w:style w:type="paragraph" w:styleId="afc">
    <w:name w:val="annotation subject"/>
    <w:basedOn w:val="aa"/>
    <w:next w:val="aa"/>
    <w:qFormat/>
    <w:rPr>
      <w:b/>
    </w:rPr>
  </w:style>
  <w:style w:type="table" w:styleId="afd">
    <w:name w:val="Table Grid"/>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e">
    <w:name w:val="Light Shading"/>
    <w:basedOn w:val="a4"/>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4"/>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4"/>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
    <w:name w:val="Light List"/>
    <w:basedOn w:val="a4"/>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4"/>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4"/>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0">
    <w:name w:val="Light Grid"/>
    <w:basedOn w:val="a4"/>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4"/>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4"/>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4"/>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4"/>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4"/>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4"/>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4"/>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4"/>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4"/>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4"/>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4"/>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4"/>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1">
    <w:name w:val="Dark List"/>
    <w:basedOn w:val="a4"/>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4"/>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4"/>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2">
    <w:name w:val="Colorful Shading"/>
    <w:basedOn w:val="a4"/>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3">
    <w:name w:val="Colorful List"/>
    <w:basedOn w:val="a4"/>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4"/>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4"/>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4">
    <w:name w:val="Colorful Grid"/>
    <w:basedOn w:val="a4"/>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4"/>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4"/>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5">
    <w:name w:val="Strong"/>
    <w:basedOn w:val="a3"/>
    <w:qFormat/>
    <w:rPr>
      <w:rFonts w:asciiTheme="minorHAnsi" w:eastAsiaTheme="minorEastAsia" w:hAnsiTheme="minorHAnsi"/>
      <w:b/>
    </w:rPr>
  </w:style>
  <w:style w:type="character" w:styleId="aff6">
    <w:name w:val="endnote reference"/>
    <w:basedOn w:val="a3"/>
    <w:qFormat/>
    <w:rPr>
      <w:rFonts w:asciiTheme="minorHAnsi" w:eastAsiaTheme="minorEastAsia" w:hAnsiTheme="minorHAnsi"/>
      <w:color w:val="262626" w:themeColor="text1" w:themeTint="D9"/>
      <w:vertAlign w:val="superscript"/>
    </w:rPr>
  </w:style>
  <w:style w:type="character" w:styleId="aff7">
    <w:name w:val="page number"/>
    <w:qFormat/>
    <w:rPr>
      <w:rFonts w:asciiTheme="minorHAnsi" w:eastAsiaTheme="minorEastAsia" w:hAnsiTheme="minorHAnsi" w:cs="Times New Roman"/>
      <w:color w:val="262626" w:themeColor="text1" w:themeTint="D9"/>
      <w:spacing w:val="-6"/>
      <w:kern w:val="2"/>
      <w:sz w:val="28"/>
      <w:szCs w:val="28"/>
      <w:lang w:val="en-US" w:eastAsia="zh-CN" w:bidi="ar-SA"/>
    </w:rPr>
  </w:style>
  <w:style w:type="character" w:styleId="aff8">
    <w:name w:val="FollowedHyperlink"/>
    <w:basedOn w:val="a3"/>
    <w:qFormat/>
    <w:rPr>
      <w:rFonts w:asciiTheme="minorHAnsi" w:eastAsiaTheme="minorEastAsia" w:hAnsiTheme="minorHAnsi" w:cs="Times New Roman"/>
      <w:color w:val="800080"/>
      <w:spacing w:val="-6"/>
      <w:kern w:val="2"/>
      <w:sz w:val="24"/>
      <w:szCs w:val="24"/>
      <w:u w:val="single"/>
      <w:lang w:val="en-US" w:eastAsia="zh-CN" w:bidi="ar-SA"/>
    </w:rPr>
  </w:style>
  <w:style w:type="character" w:styleId="aff9">
    <w:name w:val="Emphasis"/>
    <w:basedOn w:val="a3"/>
    <w:qFormat/>
    <w:rPr>
      <w:i/>
    </w:rPr>
  </w:style>
  <w:style w:type="character" w:styleId="affa">
    <w:name w:val="Hyperlink"/>
    <w:basedOn w:val="a3"/>
    <w:qFormat/>
    <w:rPr>
      <w:rFonts w:asciiTheme="minorHAnsi" w:eastAsiaTheme="minorEastAsia" w:hAnsiTheme="minorHAnsi" w:cs="Times New Roman"/>
      <w:caps/>
      <w:color w:val="0000FF"/>
      <w:spacing w:val="-6"/>
      <w:kern w:val="2"/>
      <w:sz w:val="24"/>
      <w:szCs w:val="24"/>
      <w:u w:val="single"/>
      <w:lang w:val="en-US" w:eastAsia="zh-CN" w:bidi="ar-SA"/>
    </w:rPr>
  </w:style>
  <w:style w:type="character" w:styleId="affb">
    <w:name w:val="annotation reference"/>
    <w:basedOn w:val="a3"/>
    <w:qFormat/>
    <w:rPr>
      <w:rFonts w:asciiTheme="minorHAnsi" w:eastAsiaTheme="minorEastAsia" w:hAnsiTheme="minorHAnsi"/>
      <w:color w:val="262626" w:themeColor="text1" w:themeTint="D9"/>
      <w:sz w:val="21"/>
      <w:szCs w:val="21"/>
    </w:rPr>
  </w:style>
  <w:style w:type="character" w:styleId="affc">
    <w:name w:val="footnote reference"/>
    <w:basedOn w:val="a3"/>
    <w:qFormat/>
    <w:rPr>
      <w:rFonts w:asciiTheme="minorHAnsi" w:eastAsiaTheme="minorEastAsia" w:hAnsiTheme="minorHAnsi"/>
      <w:color w:val="262626" w:themeColor="text1" w:themeTint="D9"/>
      <w:vertAlign w:val="superscript"/>
    </w:rPr>
  </w:style>
  <w:style w:type="character" w:customStyle="1" w:styleId="af3">
    <w:name w:val="页眉 字符"/>
    <w:link w:val="af2"/>
    <w:uiPriority w:val="99"/>
    <w:rPr>
      <w:sz w:val="18"/>
      <w:szCs w:val="18"/>
    </w:rPr>
  </w:style>
  <w:style w:type="character" w:customStyle="1" w:styleId="af1">
    <w:name w:val="页脚 字符"/>
    <w:link w:val="af0"/>
    <w:uiPriority w:val="99"/>
    <w:qFormat/>
    <w:rPr>
      <w:sz w:val="18"/>
      <w:szCs w:val="18"/>
    </w:rPr>
  </w:style>
  <w:style w:type="paragraph" w:styleId="affd">
    <w:name w:val="No Spacing"/>
    <w:uiPriority w:val="1"/>
    <w:qFormat/>
    <w:rPr>
      <w:sz w:val="22"/>
      <w:szCs w:val="22"/>
      <w:lang w:eastAsia="en-US"/>
    </w:rPr>
  </w:style>
  <w:style w:type="character" w:customStyle="1" w:styleId="10">
    <w:name w:val="标题 1 字符"/>
    <w:link w:val="1"/>
    <w:uiPriority w:val="9"/>
    <w:qFormat/>
    <w:rPr>
      <w:b/>
      <w:bCs/>
      <w:kern w:val="44"/>
      <w:sz w:val="36"/>
      <w:szCs w:val="36"/>
    </w:rPr>
  </w:style>
  <w:style w:type="character" w:customStyle="1" w:styleId="22">
    <w:name w:val="标题 2 字符"/>
    <w:link w:val="21"/>
    <w:uiPriority w:val="9"/>
    <w:rPr>
      <w:b/>
      <w:bCs/>
      <w:sz w:val="32"/>
      <w:szCs w:val="32"/>
    </w:rPr>
  </w:style>
  <w:style w:type="character" w:customStyle="1" w:styleId="32">
    <w:name w:val="标题 3 字符"/>
    <w:link w:val="31"/>
    <w:uiPriority w:val="9"/>
    <w:rPr>
      <w:b/>
      <w:bCs/>
      <w:sz w:val="30"/>
      <w:szCs w:val="30"/>
    </w:rPr>
  </w:style>
  <w:style w:type="character" w:customStyle="1" w:styleId="afb">
    <w:name w:val="标题 字符"/>
    <w:link w:val="afa"/>
    <w:uiPriority w:val="10"/>
    <w:qFormat/>
    <w:rPr>
      <w:rFonts w:asciiTheme="majorHAnsi" w:eastAsiaTheme="majorEastAsia" w:hAnsiTheme="majorHAnsi"/>
      <w:b/>
      <w:bCs/>
      <w:sz w:val="44"/>
      <w:szCs w:val="44"/>
    </w:rPr>
  </w:style>
  <w:style w:type="character" w:customStyle="1" w:styleId="af6">
    <w:name w:val="副标题 字符"/>
    <w:link w:val="af5"/>
    <w:uiPriority w:val="11"/>
    <w:qFormat/>
    <w:rPr>
      <w:rFonts w:asciiTheme="majorHAnsi" w:eastAsiaTheme="majorEastAsia" w:hAnsiTheme="majorHAnsi"/>
      <w:b/>
      <w:kern w:val="28"/>
      <w:sz w:val="32"/>
      <w:szCs w:val="32"/>
    </w:rPr>
  </w:style>
  <w:style w:type="paragraph" w:styleId="affe">
    <w:name w:val="List Paragraph"/>
    <w:basedOn w:val="a1"/>
    <w:uiPriority w:val="34"/>
    <w:qFormat/>
    <w:pPr>
      <w:ind w:left="720"/>
      <w:contextualSpacing/>
    </w:pPr>
  </w:style>
  <w:style w:type="character" w:customStyle="1" w:styleId="a8">
    <w:name w:val="正文文本 字符"/>
    <w:link w:val="a2"/>
    <w:uiPriority w:val="99"/>
  </w:style>
  <w:style w:type="character" w:customStyle="1" w:styleId="25">
    <w:name w:val="正文文本 2 字符"/>
    <w:link w:val="24"/>
    <w:uiPriority w:val="99"/>
  </w:style>
  <w:style w:type="character" w:customStyle="1" w:styleId="35">
    <w:name w:val="正文文本 3 字符"/>
    <w:link w:val="34"/>
    <w:uiPriority w:val="99"/>
    <w:rPr>
      <w:sz w:val="16"/>
    </w:rPr>
  </w:style>
  <w:style w:type="character" w:customStyle="1" w:styleId="a7">
    <w:name w:val="宏文本 字符"/>
    <w:link w:val="a6"/>
    <w:uiPriority w:val="99"/>
    <w:qFormat/>
    <w:rPr>
      <w:rFonts w:ascii="Courier New" w:hAnsi="Courier New"/>
      <w:kern w:val="2"/>
      <w:sz w:val="24"/>
      <w:lang w:val="en-US" w:eastAsia="zh-CN"/>
    </w:rPr>
  </w:style>
  <w:style w:type="paragraph" w:styleId="afff">
    <w:name w:val="Quote"/>
    <w:basedOn w:val="a1"/>
    <w:next w:val="a1"/>
    <w:link w:val="afff0"/>
    <w:uiPriority w:val="29"/>
    <w:qFormat/>
    <w:rPr>
      <w:i/>
      <w:iCs/>
      <w:color w:val="000000" w:themeColor="text1"/>
    </w:rPr>
  </w:style>
  <w:style w:type="character" w:customStyle="1" w:styleId="afff0">
    <w:name w:val="引用 字符"/>
    <w:basedOn w:val="a3"/>
    <w:link w:val="afff"/>
    <w:uiPriority w:val="29"/>
    <w:qFormat/>
    <w:rPr>
      <w:i/>
      <w:iCs/>
      <w:color w:val="000000" w:themeColor="text1"/>
    </w:rPr>
  </w:style>
  <w:style w:type="character" w:customStyle="1" w:styleId="40">
    <w:name w:val="标题 4 字符"/>
    <w:link w:val="4"/>
    <w:uiPriority w:val="9"/>
    <w:semiHidden/>
    <w:qFormat/>
    <w:rPr>
      <w:b/>
      <w:bCs/>
      <w:sz w:val="28"/>
      <w:szCs w:val="28"/>
    </w:rPr>
  </w:style>
  <w:style w:type="character" w:customStyle="1" w:styleId="50">
    <w:name w:val="标题 5 字符"/>
    <w:link w:val="5"/>
    <w:uiPriority w:val="9"/>
    <w:semiHidden/>
    <w:rPr>
      <w:b/>
      <w:bCs/>
    </w:rPr>
  </w:style>
  <w:style w:type="character" w:customStyle="1" w:styleId="60">
    <w:name w:val="标题 6 字符"/>
    <w:link w:val="6"/>
    <w:uiPriority w:val="9"/>
    <w:semiHidden/>
    <w:qFormat/>
    <w:rPr>
      <w:rFonts w:asciiTheme="minorHAnsi" w:eastAsiaTheme="minorEastAsia" w:hAnsiTheme="minorHAnsi"/>
      <w:b/>
      <w:bCs/>
    </w:rPr>
  </w:style>
  <w:style w:type="character" w:customStyle="1" w:styleId="70">
    <w:name w:val="标题 7 字符"/>
    <w:link w:val="7"/>
    <w:uiPriority w:val="9"/>
    <w:semiHidden/>
    <w:qFormat/>
    <w:rPr>
      <w:rFonts w:asciiTheme="minorHAnsi" w:eastAsiaTheme="minorEastAsia" w:hAnsiTheme="minorHAnsi"/>
      <w:b/>
      <w:bCs/>
    </w:rPr>
  </w:style>
  <w:style w:type="character" w:customStyle="1" w:styleId="80">
    <w:name w:val="标题 8 字符"/>
    <w:link w:val="8"/>
    <w:uiPriority w:val="9"/>
    <w:semiHidden/>
    <w:qFormat/>
    <w:rPr>
      <w:rFonts w:asciiTheme="minorHAnsi" w:eastAsiaTheme="minorEastAsia" w:hAnsiTheme="minorHAnsi"/>
      <w:b/>
      <w:bCs/>
    </w:rPr>
  </w:style>
  <w:style w:type="character" w:customStyle="1" w:styleId="90">
    <w:name w:val="标题 9 字符"/>
    <w:link w:val="9"/>
    <w:uiPriority w:val="9"/>
    <w:semiHidden/>
    <w:qFormat/>
    <w:rPr>
      <w:rFonts w:asciiTheme="minorHAnsi" w:eastAsiaTheme="minorEastAsia" w:hAnsiTheme="minorHAnsi"/>
      <w:b/>
      <w:bCs/>
      <w:sz w:val="24"/>
    </w:rPr>
  </w:style>
  <w:style w:type="paragraph" w:styleId="afff1">
    <w:name w:val="Intense Quote"/>
    <w:basedOn w:val="a1"/>
    <w:next w:val="a1"/>
    <w:link w:val="afff2"/>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f2">
    <w:name w:val="明显引用 字符"/>
    <w:basedOn w:val="a3"/>
    <w:link w:val="afff1"/>
    <w:uiPriority w:val="30"/>
    <w:qFormat/>
    <w:rPr>
      <w:b/>
      <w:bCs/>
      <w:i/>
      <w:iCs/>
      <w:color w:val="4F81BD" w:themeColor="accent1"/>
    </w:rPr>
  </w:style>
  <w:style w:type="character" w:customStyle="1" w:styleId="14">
    <w:name w:val="不明显强调1"/>
    <w:basedOn w:val="a3"/>
    <w:uiPriority w:val="19"/>
    <w:qFormat/>
    <w:rPr>
      <w:i/>
      <w:iCs/>
      <w:color w:val="7F7F7F" w:themeColor="text1" w:themeTint="80"/>
    </w:rPr>
  </w:style>
  <w:style w:type="character" w:customStyle="1" w:styleId="15">
    <w:name w:val="明显强调1"/>
    <w:basedOn w:val="a3"/>
    <w:uiPriority w:val="21"/>
    <w:qFormat/>
    <w:rPr>
      <w:b/>
      <w:bCs/>
      <w:i/>
      <w:iCs/>
      <w:color w:val="4F81BD" w:themeColor="accent1"/>
    </w:rPr>
  </w:style>
  <w:style w:type="character" w:customStyle="1" w:styleId="16">
    <w:name w:val="不明显参考1"/>
    <w:basedOn w:val="a3"/>
    <w:uiPriority w:val="31"/>
    <w:qFormat/>
    <w:rPr>
      <w:smallCaps/>
      <w:color w:val="C0504D" w:themeColor="accent2"/>
      <w:u w:val="single"/>
    </w:rPr>
  </w:style>
  <w:style w:type="character" w:customStyle="1" w:styleId="17">
    <w:name w:val="明显参考1"/>
    <w:basedOn w:val="a3"/>
    <w:uiPriority w:val="32"/>
    <w:qFormat/>
    <w:rPr>
      <w:b/>
      <w:bCs/>
      <w:smallCaps/>
      <w:color w:val="C0504D" w:themeColor="accent2"/>
      <w:spacing w:val="5"/>
      <w:u w:val="single"/>
    </w:rPr>
  </w:style>
  <w:style w:type="character" w:customStyle="1" w:styleId="18">
    <w:name w:val="书籍标题1"/>
    <w:basedOn w:val="a3"/>
    <w:uiPriority w:val="33"/>
    <w:qFormat/>
    <w:rPr>
      <w:b/>
      <w:bCs/>
      <w:smallCaps/>
      <w:spacing w:val="5"/>
    </w:rPr>
  </w:style>
  <w:style w:type="paragraph" w:customStyle="1" w:styleId="TOC10">
    <w:name w:val="TOC 标题1"/>
    <w:basedOn w:val="1"/>
    <w:next w:val="a1"/>
    <w:uiPriority w:val="39"/>
    <w:semiHidden/>
    <w:unhideWhenUsed/>
    <w:qFormat/>
    <w:pPr>
      <w:outlineLvl w:val="9"/>
    </w:pPr>
  </w:style>
  <w:style w:type="paragraph" w:customStyle="1" w:styleId="afff3">
    <w:name w:val="文档说明标题"/>
    <w:next w:val="a1"/>
    <w:autoRedefine/>
    <w:qFormat/>
    <w:pPr>
      <w:adjustRightInd w:val="0"/>
      <w:snapToGrid w:val="0"/>
      <w:spacing w:beforeLines="50" w:before="50" w:line="312" w:lineRule="auto"/>
      <w:jc w:val="center"/>
    </w:pPr>
    <w:rPr>
      <w:rFonts w:asciiTheme="majorHAnsi" w:eastAsiaTheme="majorEastAsia" w:hAnsiTheme="majorHAnsi" w:cs="Times New Roman"/>
      <w:b/>
      <w:sz w:val="32"/>
      <w:szCs w:val="32"/>
      <w:lang w:eastAsia="zh-Hans"/>
    </w:rPr>
  </w:style>
  <w:style w:type="paragraph" w:customStyle="1" w:styleId="afff4">
    <w:name w:val="章标题"/>
    <w:next w:val="a1"/>
    <w:autoRedefine/>
    <w:qFormat/>
    <w:pPr>
      <w:keepNext/>
      <w:keepLines/>
      <w:adjustRightInd w:val="0"/>
      <w:snapToGrid w:val="0"/>
      <w:spacing w:beforeLines="50" w:before="50" w:line="312" w:lineRule="auto"/>
      <w:jc w:val="center"/>
      <w:outlineLvl w:val="0"/>
    </w:pPr>
    <w:rPr>
      <w:rFonts w:asciiTheme="majorHAnsi" w:eastAsiaTheme="majorEastAsia" w:hAnsiTheme="majorHAnsi" w:cs="Times New Roman"/>
      <w:b/>
      <w:bCs/>
      <w:kern w:val="44"/>
      <w:sz w:val="32"/>
      <w:szCs w:val="32"/>
      <w:lang w:eastAsia="zh-Hans"/>
    </w:rPr>
  </w:style>
  <w:style w:type="paragraph" w:customStyle="1" w:styleId="afff5">
    <w:name w:val="节标题"/>
    <w:next w:val="a1"/>
    <w:autoRedefine/>
    <w:qFormat/>
    <w:pPr>
      <w:keepNext/>
      <w:keepLines/>
      <w:adjustRightInd w:val="0"/>
      <w:snapToGrid w:val="0"/>
      <w:spacing w:beforeLines="50" w:before="50" w:line="312" w:lineRule="auto"/>
      <w:jc w:val="center"/>
      <w:outlineLvl w:val="0"/>
    </w:pPr>
    <w:rPr>
      <w:rFonts w:asciiTheme="majorHAnsi" w:eastAsiaTheme="majorEastAsia" w:hAnsiTheme="majorHAnsi" w:cs="Times New Roman"/>
      <w:b/>
      <w:kern w:val="44"/>
      <w:sz w:val="30"/>
      <w:szCs w:val="30"/>
      <w:lang w:eastAsia="zh-Hans"/>
    </w:rPr>
  </w:style>
  <w:style w:type="paragraph" w:customStyle="1" w:styleId="afff6">
    <w:name w:val="附录标题"/>
    <w:next w:val="a2"/>
    <w:autoRedefine/>
    <w:qFormat/>
    <w:pPr>
      <w:keepNext/>
      <w:keepLines/>
      <w:adjustRightInd w:val="0"/>
      <w:snapToGrid w:val="0"/>
      <w:spacing w:beforeLines="50" w:before="50" w:line="312" w:lineRule="auto"/>
      <w:jc w:val="center"/>
      <w:outlineLvl w:val="0"/>
    </w:pPr>
    <w:rPr>
      <w:rFonts w:asciiTheme="majorHAnsi" w:eastAsiaTheme="majorEastAsia" w:hAnsiTheme="majorHAnsi" w:cs="Times New Roman"/>
      <w:b/>
      <w:kern w:val="44"/>
      <w:sz w:val="32"/>
      <w:szCs w:val="32"/>
      <w:lang w:eastAsia="zh-Hans"/>
    </w:rPr>
  </w:style>
  <w:style w:type="character" w:customStyle="1" w:styleId="afff7">
    <w:name w:val="摘要"/>
    <w:basedOn w:val="a3"/>
    <w:autoRedefine/>
    <w:qFormat/>
    <w:rPr>
      <w:rFonts w:ascii="宋体" w:eastAsia="宋体" w:hAnsi="宋体" w:hint="eastAsia"/>
      <w:b/>
      <w:lang w:val="en-US" w:eastAsia="zh-Hans"/>
    </w:rPr>
  </w:style>
  <w:style w:type="character" w:customStyle="1" w:styleId="afff8">
    <w:name w:val="关键词"/>
    <w:basedOn w:val="a3"/>
    <w:autoRedefine/>
    <w:qFormat/>
    <w:rPr>
      <w:rFonts w:ascii="宋体" w:eastAsia="宋体" w:hAnsi="宋体" w:hint="eastAsia"/>
      <w:b/>
      <w:lang w:val="en-US" w:eastAsia="zh-Hans"/>
    </w:rPr>
  </w:style>
  <w:style w:type="paragraph" w:customStyle="1" w:styleId="19">
    <w:name w:val="题注1"/>
    <w:basedOn w:val="a1"/>
    <w:autoRedefine/>
    <w:qFormat/>
    <w:pPr>
      <w:jc w:val="center"/>
    </w:pPr>
    <w:rPr>
      <w:lang w:eastAsia="zh-Hans"/>
    </w:rPr>
  </w:style>
  <w:style w:type="paragraph" w:customStyle="1" w:styleId="afff9">
    <w:name w:val="目录标题"/>
    <w:basedOn w:val="a1"/>
    <w:qFormat/>
    <w:pPr>
      <w:spacing w:afterLines="0" w:line="240" w:lineRule="auto"/>
      <w:jc w:val="center"/>
    </w:pPr>
    <w:rPr>
      <w:b/>
      <w:sz w:val="28"/>
      <w:szCs w:val="28"/>
    </w:rPr>
  </w:style>
  <w:style w:type="paragraph" w:customStyle="1" w:styleId="afffa">
    <w:name w:val="主送对象"/>
    <w:next w:val="a2"/>
    <w:qFormat/>
    <w:pPr>
      <w:adjustRightInd w:val="0"/>
      <w:snapToGrid w:val="0"/>
      <w:spacing w:line="576" w:lineRule="exact"/>
    </w:pPr>
    <w:rPr>
      <w:rFonts w:cs="Times New Roman"/>
      <w:color w:val="262626" w:themeColor="text1" w:themeTint="D9"/>
      <w:sz w:val="24"/>
      <w:szCs w:val="24"/>
    </w:rPr>
  </w:style>
  <w:style w:type="paragraph" w:customStyle="1" w:styleId="afffb">
    <w:name w:val="致谢标题"/>
    <w:qFormat/>
    <w:pPr>
      <w:keepNext/>
      <w:keepLines/>
      <w:adjustRightInd w:val="0"/>
      <w:snapToGrid w:val="0"/>
      <w:spacing w:beforeLines="50" w:before="50" w:line="312" w:lineRule="auto"/>
      <w:jc w:val="center"/>
      <w:outlineLvl w:val="0"/>
    </w:pPr>
    <w:rPr>
      <w:rFonts w:ascii="Calibri" w:eastAsia="宋体" w:hAnsi="Calibri" w:cs="Times New Roman"/>
      <w:b/>
      <w:bCs/>
      <w:kern w:val="44"/>
      <w:sz w:val="32"/>
      <w:szCs w:val="32"/>
    </w:rPr>
  </w:style>
  <w:style w:type="paragraph" w:customStyle="1" w:styleId="afffc">
    <w:name w:val="参考文献标题"/>
    <w:qFormat/>
    <w:pPr>
      <w:keepNext/>
      <w:keepLines/>
      <w:spacing w:beforeLines="50" w:before="50" w:afterLines="20" w:after="20" w:line="312" w:lineRule="auto"/>
      <w:jc w:val="center"/>
      <w:outlineLvl w:val="0"/>
    </w:pPr>
    <w:rPr>
      <w:rFonts w:ascii="Calibri" w:eastAsia="宋体" w:hAnsi="Calibri" w:cs="Times New Roman"/>
      <w:b/>
      <w:bCs/>
      <w:kern w:val="44"/>
      <w:sz w:val="32"/>
      <w:szCs w:val="32"/>
    </w:rPr>
  </w:style>
  <w:style w:type="paragraph" w:customStyle="1" w:styleId="afffd">
    <w:name w:val="声明标题"/>
    <w:qFormat/>
    <w:pPr>
      <w:keepNext/>
      <w:keepLines/>
      <w:adjustRightInd w:val="0"/>
      <w:snapToGrid w:val="0"/>
      <w:spacing w:beforeLines="50" w:before="50" w:line="312" w:lineRule="auto"/>
      <w:jc w:val="center"/>
      <w:outlineLvl w:val="0"/>
    </w:pPr>
    <w:rPr>
      <w:rFonts w:asciiTheme="majorHAnsi" w:eastAsiaTheme="majorEastAsia" w:hAnsiTheme="majorHAnsi" w:cs="Times New Roman"/>
      <w:b/>
      <w:bCs/>
      <w:kern w:val="44"/>
      <w:sz w:val="32"/>
      <w:szCs w:val="32"/>
    </w:rPr>
  </w:style>
  <w:style w:type="paragraph" w:styleId="afffe">
    <w:name w:val="Body Text First Indent"/>
    <w:basedOn w:val="a2"/>
    <w:link w:val="affff"/>
    <w:qFormat/>
    <w:rsid w:val="00876E10"/>
    <w:pPr>
      <w:spacing w:afterLines="20"/>
      <w:ind w:firstLineChars="100" w:firstLine="420"/>
    </w:pPr>
  </w:style>
  <w:style w:type="character" w:customStyle="1" w:styleId="affff">
    <w:name w:val="正文文本首行缩进 字符"/>
    <w:basedOn w:val="a8"/>
    <w:link w:val="afffe"/>
    <w:rsid w:val="00876E1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16</Pages>
  <Words>2870</Words>
  <Characters>3014</Characters>
  <Application>Microsoft Office Word</Application>
  <DocSecurity>0</DocSecurity>
  <Lines>215</Lines>
  <Paragraphs>210</Paragraphs>
  <ScaleCrop>false</ScaleCrop>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文昊 陈</cp:lastModifiedBy>
  <cp:revision>6</cp:revision>
  <dcterms:created xsi:type="dcterms:W3CDTF">2013-12-23T23:15:00Z</dcterms:created>
  <dcterms:modified xsi:type="dcterms:W3CDTF">2026-09-24T07:34:00Z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eyJoZGlkIjoiNzU4MTgxNTc1MjU3NmZhNWQ3MmZkM2JmYTZjNjJmNjkiLCJ1c2VySWQiOiIyODQzMDE1NzgifQ==</vt:lpwstr>
  </property>
  <property fmtid="{D5CDD505-2E9C-101B-9397-08002B2CF9AE}" pid="3" name="KSOProductBuildVer">
    <vt:lpwstr>2052-12.1.0.28505</vt:lpwstr>
  </property>
  <property fmtid="{D5CDD505-2E9C-101B-9397-08002B2CF9AE}" pid="4" name="ICV">
    <vt:lpwstr>28A12EFBE3E24D9893A9B3DD48124F8C_12</vt:lpwstr>
  </property>
</Properties>
</file>