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Times New Roman"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44"/>
        </w:rPr>
        <w:t>附件1：</w:t>
      </w:r>
    </w:p>
    <w:p>
      <w:pPr>
        <w:ind w:right="-483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安徽省通信学会2023年会暨信息通信大会</w:t>
      </w:r>
    </w:p>
    <w:p>
      <w:pPr>
        <w:ind w:right="-483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拟定议程</w:t>
      </w:r>
    </w:p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开幕式暨主旨报告会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主持人：郑东鸣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夯实数字基础底座 促进数实深度融合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巡展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安徽省信息通信业发展成果展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开幕式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省科协领导、省通信管理局领导致辞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20-9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颁奖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安徽省通信学会首届优秀学术论文颁奖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35-10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厘清机遇 明确定位 勇立潮头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8"/>
              </w:rPr>
              <w:t>中国通信学会副秘书长（正局级）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8"/>
              </w:rPr>
              <w:t>欧阳武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5G助力新型工业化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中国联通集团大数据首席科学家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范济安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25-1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夯实数字底座，探索新型算网服务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中国移动云能力中心华东区副总经理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支敏慧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0:5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量子信息：未来通信与计算的革命性突破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中电信量子集团解决方案中心副总经理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刘哲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15-11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主旨报告5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星火燎原 智算未来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科大讯飞星火军团副总裁&amp;研究院副院长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王金钖</w:t>
            </w:r>
          </w:p>
        </w:tc>
      </w:tr>
    </w:tbl>
    <w:p/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平行论坛一：前沿技术报告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算启新程 智享未来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13:50-14:10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14:10-14:20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信息处理技术赋能产业升级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安徽大学电气工程与自动化学院副教授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卢一相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算网融合和算力调度发展趋势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安徽电信规划设计院总工程师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王跃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工业互联网标识解析创新发展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/>
                <w:spacing w:val="-2"/>
                <w:sz w:val="24"/>
                <w:szCs w:val="28"/>
              </w:rPr>
              <w:t>工业互联网研究院网络所业务发展部主任 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数智转型及行业洞察成果发布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  <w:szCs w:val="28"/>
                <w:lang w:bidi="ar"/>
              </w:rPr>
              <w:t>政企业务部主任 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携手中国“芯”重塑算力新基建基石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中科曙光售前方案部副经理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从前路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30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省内产业发展研究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咨询总监 王锦龙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总结发言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副院长 徐生瑜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平行论坛二：大数据与人工智能论坛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主持人：周耀明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驱动未来引擎 共享AI时代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14:00-14:20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14:30-15:00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大模型落地为企业带来的机遇与挑战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中国大数据专家委员会委员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丁陈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15:00-15:30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自智引擎铸造质效双优绿色网络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ind w:firstLine="1200" w:firstLineChars="500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专业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副总师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沈骜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15:30-16:00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昇腾，助力运营商构筑创新智能根基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安徽华为IT解决方案部部长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季卓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16:00-16:30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基于云计算大数据分析的物联网测控技术与应用研究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安徽大学电子信息工程学院副教授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张红伟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16:30-17:00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生成.创造：大模型背景下的中国数字化发展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安徽省通信学会大数据与人工智能专委会主任 周耀明</w:t>
            </w:r>
          </w:p>
        </w:tc>
      </w:tr>
    </w:tbl>
    <w:p>
      <w:pPr>
        <w:ind w:right="640"/>
        <w:rPr>
          <w:rFonts w:ascii="黑体" w:hAnsi="黑体" w:eastAsia="黑体" w:cs="Times New Roman"/>
          <w:sz w:val="32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ascii="黑体" w:hAnsi="黑体" w:eastAsia="黑体" w:cs="Times New Roman"/>
          <w:sz w:val="32"/>
          <w:szCs w:val="44"/>
        </w:rPr>
        <w:br w:type="page"/>
      </w:r>
    </w:p>
    <w:tbl>
      <w:tblPr>
        <w:tblStyle w:val="7"/>
        <w:tblpPr w:leftFromText="180" w:rightFromText="180" w:vertAnchor="text" w:horzAnchor="margin" w:tblpXSpec="center" w:tblpY="95"/>
        <w:tblOverlap w:val="never"/>
        <w:tblW w:w="6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44"/>
        <w:gridCol w:w="2483"/>
        <w:gridCol w:w="4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平行论坛三：5G+工业互联网论坛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主持人：王友祥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新网络 新工控 赋能新型工业化发展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12月26日</w:t>
            </w:r>
          </w:p>
        </w:tc>
        <w:tc>
          <w:tcPr>
            <w:tcW w:w="34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 w:themeFill="accent5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合肥香格里拉大酒店二楼大宴会厅C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13:50-14:10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嘉宾签到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14:10-14:20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开场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安徽省通信学会领导，工控界知名学者、企业领导致辞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14:20-14: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5G底座的新型工业控制架构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中国联通研究院 技术专家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工业互联网体系架构与关键技术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北京科技大学仪器科学与技术系副主任</w:t>
            </w:r>
          </w:p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孙雷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发布仪式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“新网络</w:t>
            </w:r>
            <w:r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 xml:space="preserve"> 新工控 赋能新型工业化发展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”评比及发布仪式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安徽省通信学会、研究院、设计院、工控界知名学者企业领导等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学术沙龙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新网络 新工控沙龙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lang w:bidi="ar"/>
              </w:rPr>
              <w:t>工控界知名专家、工控兄弟连、长虹美菱、北京东土、中控技术等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新型冷却技术在新型工业中的应用研究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中国移动通信集团设计院有限公司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工程设计总监   张贺新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16: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时间敏感网络技术（TSN）发展前景与应用展望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北京东土科技 技术专家 陈晟民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40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“四个深化”看工业互联网安全发展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北京威努特技术有限公司高级顾问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00-17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嘉宾演讲6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《IT&amp;OT融合背景下的工控系统挑战》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中控技术工业信息安全业务华中区域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总经理 陈俞蓉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20-18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00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总结发言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bidi="ar"/>
              </w:rPr>
              <w:t>专家学者总结发言</w:t>
            </w:r>
          </w:p>
        </w:tc>
      </w:tr>
    </w:tbl>
    <w:p>
      <w:pPr>
        <w:ind w:right="640"/>
        <w:rPr>
          <w:rFonts w:ascii="黑体" w:hAnsi="黑体" w:eastAsia="黑体" w:cs="Times New Roman"/>
          <w:sz w:val="32"/>
          <w:szCs w:val="44"/>
        </w:rPr>
        <w:sectPr>
          <w:pgSz w:w="11906" w:h="16838"/>
          <w:pgMar w:top="1985" w:right="1800" w:bottom="1985" w:left="1800" w:header="851" w:footer="992" w:gutter="0"/>
          <w:cols w:space="425" w:num="1"/>
          <w:docGrid w:type="lines" w:linePitch="312" w:charSpace="0"/>
        </w:sectPr>
      </w:pPr>
    </w:p>
    <w:p>
      <w:pPr>
        <w:ind w:right="640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附件2：</w:t>
      </w:r>
    </w:p>
    <w:p>
      <w:pPr>
        <w:ind w:right="-147" w:firstLine="883" w:firstLineChars="20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安徽省通信学会2023年会暨信息通信大会</w:t>
      </w:r>
    </w:p>
    <w:p>
      <w:pPr>
        <w:ind w:right="-147" w:firstLine="560" w:firstLineChars="200"/>
        <w:jc w:val="left"/>
        <w:rPr>
          <w:rFonts w:ascii="宋体" w:hAnsi="宋体" w:eastAsia="宋体" w:cs="Times New Roman"/>
          <w:sz w:val="28"/>
          <w:szCs w:val="44"/>
        </w:rPr>
      </w:pPr>
      <w:r>
        <w:rPr>
          <w:rFonts w:hint="eastAsia" w:ascii="宋体" w:hAnsi="宋体" w:eastAsia="宋体" w:cs="Times New Roman"/>
          <w:sz w:val="28"/>
          <w:szCs w:val="44"/>
        </w:rPr>
        <w:t>报名单位：_________________</w:t>
      </w:r>
    </w:p>
    <w:tbl>
      <w:tblPr>
        <w:tblStyle w:val="8"/>
        <w:tblW w:w="1346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00"/>
        <w:gridCol w:w="2014"/>
        <w:gridCol w:w="1694"/>
        <w:gridCol w:w="1706"/>
        <w:gridCol w:w="1462"/>
        <w:gridCol w:w="1586"/>
        <w:gridCol w:w="158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ind w:right="-147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性别</w:t>
            </w:r>
          </w:p>
        </w:tc>
        <w:tc>
          <w:tcPr>
            <w:tcW w:w="2014" w:type="dxa"/>
            <w:vAlign w:val="center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职务</w:t>
            </w:r>
          </w:p>
        </w:tc>
        <w:tc>
          <w:tcPr>
            <w:tcW w:w="1694" w:type="dxa"/>
            <w:vAlign w:val="center"/>
          </w:tcPr>
          <w:p>
            <w:pPr>
              <w:ind w:right="-147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联系电话</w:t>
            </w:r>
          </w:p>
        </w:tc>
        <w:tc>
          <w:tcPr>
            <w:tcW w:w="1706" w:type="dxa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是否住宿</w:t>
            </w: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是否参加开幕式</w:t>
            </w: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是否参加</w:t>
            </w:r>
          </w:p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论坛（一）</w:t>
            </w: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是否参加</w:t>
            </w:r>
          </w:p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论坛（二）</w:t>
            </w: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是否参加</w:t>
            </w:r>
          </w:p>
          <w:p>
            <w:pPr>
              <w:ind w:right="-76"/>
              <w:jc w:val="center"/>
              <w:rPr>
                <w:rFonts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论坛（三）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800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014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694" w:type="dxa"/>
          </w:tcPr>
          <w:p>
            <w:pPr>
              <w:ind w:right="-147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706" w:type="dxa"/>
          </w:tcPr>
          <w:p>
            <w:pPr>
              <w:ind w:right="-108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462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586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  <w:tc>
          <w:tcPr>
            <w:tcW w:w="1499" w:type="dxa"/>
          </w:tcPr>
          <w:p>
            <w:pPr>
              <w:ind w:right="-76"/>
              <w:jc w:val="center"/>
              <w:rPr>
                <w:rFonts w:ascii="黑体" w:hAnsi="黑体" w:eastAsia="黑体" w:cs="Times New Roman"/>
                <w:sz w:val="28"/>
                <w:szCs w:val="44"/>
              </w:rPr>
            </w:pPr>
            <w:r>
              <w:rPr>
                <w:rFonts w:hint="eastAsia" w:ascii="黑体" w:hAnsi="黑体" w:eastAsia="黑体" w:cs="Times New Roman"/>
                <w:sz w:val="28"/>
                <w:szCs w:val="44"/>
              </w:rPr>
              <w:t>……</w:t>
            </w:r>
          </w:p>
        </w:tc>
      </w:tr>
    </w:tbl>
    <w:p>
      <w:r>
        <w:rPr>
          <w:rFonts w:hint="eastAsia" w:ascii="仿宋" w:hAnsi="仿宋" w:eastAsia="仿宋" w:cs="Times New Roman"/>
          <w:sz w:val="32"/>
          <w:szCs w:val="44"/>
        </w:rPr>
        <w:t>注：香格里拉大酒店住宿标准为：500元/间/天。</w:t>
      </w:r>
    </w:p>
    <w:p>
      <w:pPr>
        <w:ind w:right="640"/>
        <w:rPr>
          <w:rFonts w:ascii="黑体" w:hAnsi="黑体" w:eastAsia="黑体" w:cs="Times New Roman"/>
          <w:sz w:val="32"/>
          <w:szCs w:val="44"/>
        </w:rPr>
        <w:sectPr>
          <w:pgSz w:w="16838" w:h="11906" w:orient="landscape"/>
          <w:pgMar w:top="1800" w:right="851" w:bottom="1800" w:left="1134" w:header="851" w:footer="992" w:gutter="0"/>
          <w:cols w:space="425" w:num="1"/>
          <w:docGrid w:type="lines" w:linePitch="312" w:charSpace="0"/>
        </w:sectPr>
      </w:pPr>
    </w:p>
    <w:p>
      <w:pPr>
        <w:ind w:right="640"/>
      </w:pPr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87"/>
    <w:rsid w:val="000267F6"/>
    <w:rsid w:val="00055A1A"/>
    <w:rsid w:val="000650D3"/>
    <w:rsid w:val="000910C3"/>
    <w:rsid w:val="000E4562"/>
    <w:rsid w:val="000E634D"/>
    <w:rsid w:val="00134A2A"/>
    <w:rsid w:val="00157337"/>
    <w:rsid w:val="001616F3"/>
    <w:rsid w:val="00182D12"/>
    <w:rsid w:val="001A6E0B"/>
    <w:rsid w:val="001D0B94"/>
    <w:rsid w:val="001E29A9"/>
    <w:rsid w:val="001F1CB5"/>
    <w:rsid w:val="00201262"/>
    <w:rsid w:val="00214665"/>
    <w:rsid w:val="00215DDC"/>
    <w:rsid w:val="002641FB"/>
    <w:rsid w:val="00272897"/>
    <w:rsid w:val="00283462"/>
    <w:rsid w:val="00297CCC"/>
    <w:rsid w:val="002C046F"/>
    <w:rsid w:val="00302754"/>
    <w:rsid w:val="00311EE1"/>
    <w:rsid w:val="003637B9"/>
    <w:rsid w:val="0036513E"/>
    <w:rsid w:val="00366140"/>
    <w:rsid w:val="003751CD"/>
    <w:rsid w:val="003B2FC4"/>
    <w:rsid w:val="003D4C59"/>
    <w:rsid w:val="003F2341"/>
    <w:rsid w:val="00436D3B"/>
    <w:rsid w:val="00450DD3"/>
    <w:rsid w:val="00467537"/>
    <w:rsid w:val="004B5C0E"/>
    <w:rsid w:val="004C34B7"/>
    <w:rsid w:val="004E60F0"/>
    <w:rsid w:val="004F7A32"/>
    <w:rsid w:val="00503C36"/>
    <w:rsid w:val="00520BB7"/>
    <w:rsid w:val="00522896"/>
    <w:rsid w:val="00530478"/>
    <w:rsid w:val="005639B7"/>
    <w:rsid w:val="005934E9"/>
    <w:rsid w:val="005A3879"/>
    <w:rsid w:val="005A7583"/>
    <w:rsid w:val="005B7149"/>
    <w:rsid w:val="005F1CDF"/>
    <w:rsid w:val="00603A4A"/>
    <w:rsid w:val="00605D7A"/>
    <w:rsid w:val="0063781A"/>
    <w:rsid w:val="006400E0"/>
    <w:rsid w:val="00644283"/>
    <w:rsid w:val="00675AF2"/>
    <w:rsid w:val="006E38A4"/>
    <w:rsid w:val="006F278D"/>
    <w:rsid w:val="006F51F0"/>
    <w:rsid w:val="00734330"/>
    <w:rsid w:val="00756250"/>
    <w:rsid w:val="00791C8F"/>
    <w:rsid w:val="007A4E09"/>
    <w:rsid w:val="008025F7"/>
    <w:rsid w:val="008C4017"/>
    <w:rsid w:val="008E3C87"/>
    <w:rsid w:val="008F2008"/>
    <w:rsid w:val="00945F43"/>
    <w:rsid w:val="00992B13"/>
    <w:rsid w:val="00A42004"/>
    <w:rsid w:val="00A42720"/>
    <w:rsid w:val="00A44F09"/>
    <w:rsid w:val="00A71D6A"/>
    <w:rsid w:val="00A83F4D"/>
    <w:rsid w:val="00A95862"/>
    <w:rsid w:val="00A97AB2"/>
    <w:rsid w:val="00AF50B7"/>
    <w:rsid w:val="00B228FD"/>
    <w:rsid w:val="00B25226"/>
    <w:rsid w:val="00B40878"/>
    <w:rsid w:val="00B90799"/>
    <w:rsid w:val="00B940DA"/>
    <w:rsid w:val="00BE7E48"/>
    <w:rsid w:val="00C21DAC"/>
    <w:rsid w:val="00C75256"/>
    <w:rsid w:val="00C81C53"/>
    <w:rsid w:val="00C85C78"/>
    <w:rsid w:val="00CD2D52"/>
    <w:rsid w:val="00D01699"/>
    <w:rsid w:val="00DB4091"/>
    <w:rsid w:val="00DB413E"/>
    <w:rsid w:val="00DD0426"/>
    <w:rsid w:val="00E00766"/>
    <w:rsid w:val="00E407AC"/>
    <w:rsid w:val="00E96D5A"/>
    <w:rsid w:val="00ED51B1"/>
    <w:rsid w:val="00F31968"/>
    <w:rsid w:val="00F41D8A"/>
    <w:rsid w:val="00FA09D9"/>
    <w:rsid w:val="00FB7EFB"/>
    <w:rsid w:val="00FF116D"/>
    <w:rsid w:val="00FF2F8F"/>
    <w:rsid w:val="00FF57BF"/>
    <w:rsid w:val="03183E0D"/>
    <w:rsid w:val="033E095F"/>
    <w:rsid w:val="0B8B59BE"/>
    <w:rsid w:val="2C5A7AC4"/>
    <w:rsid w:val="2DD10D43"/>
    <w:rsid w:val="35E0728C"/>
    <w:rsid w:val="429D0359"/>
    <w:rsid w:val="42D4140F"/>
    <w:rsid w:val="46596A8D"/>
    <w:rsid w:val="51B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9"/>
    <w:link w:val="2"/>
    <w:semiHidden/>
    <w:qFormat/>
    <w:uiPriority w:val="99"/>
    <w:rPr>
      <w:kern w:val="2"/>
      <w:sz w:val="18"/>
      <w:szCs w:val="18"/>
    </w:rPr>
  </w:style>
  <w:style w:type="paragraph" w:customStyle="1" w:styleId="14">
    <w:name w:val="正文 A"/>
    <w:basedOn w:val="1"/>
    <w:qFormat/>
    <w:uiPriority w:val="0"/>
    <w:pPr>
      <w:spacing w:line="360" w:lineRule="auto"/>
    </w:pPr>
    <w:rPr>
      <w:rFonts w:ascii="宋体" w:hAnsi="宋体" w:eastAsia="宋体" w:cs="微软雅黑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5147-F205-4731-B12A-CF6787804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342</Words>
  <Characters>1950</Characters>
  <Lines>16</Lines>
  <Paragraphs>4</Paragraphs>
  <TotalTime>3</TotalTime>
  <ScaleCrop>false</ScaleCrop>
  <LinksUpToDate>false</LinksUpToDate>
  <CharactersWithSpaces>2288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2023-12-20T09:09:00Z</dcterms:created>
  <dc:creator>gyb1</dc:creator>
  <cp:lastModifiedBy>小琼</cp:lastModifiedBy>
  <cp:lastPrinted>2021-12-24T08:59:00Z</cp:lastPrinted>
  <dcterms:modified xsi:type="dcterms:W3CDTF">2023-12-20T10:34:40Z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9970993D20134C07B9ECA6A4C6A8BA70_13</vt:lpwstr>
  </property>
</Properties>
</file>